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43BC" w14:textId="4AC7B291" w:rsidR="00177861" w:rsidRDefault="00177861" w:rsidP="00022AF6"/>
    <w:p w14:paraId="57D9D249" w14:textId="14CA3EEE" w:rsidR="0086511E" w:rsidRDefault="00B25C1C" w:rsidP="005D547E">
      <w:pPr>
        <w:rPr>
          <w:rFonts w:cs="Arial"/>
        </w:rPr>
      </w:pPr>
      <w:r w:rsidRPr="00B25C1C">
        <w:rPr>
          <w:b/>
        </w:rPr>
        <w:tab/>
      </w:r>
    </w:p>
    <w:p w14:paraId="0A4E9BDF" w14:textId="286A164F" w:rsidR="00A87B66" w:rsidRDefault="007626C5" w:rsidP="005D547E">
      <w:pPr>
        <w:pStyle w:val="Heading2"/>
        <w:numPr>
          <w:ilvl w:val="0"/>
          <w:numId w:val="0"/>
        </w:numPr>
        <w:ind w:left="360" w:hanging="360"/>
      </w:pPr>
      <w:bookmarkStart w:id="0" w:name="_Toc482612617"/>
      <w:bookmarkStart w:id="1" w:name="_Toc482612909"/>
      <w:bookmarkStart w:id="2" w:name="_Toc482613083"/>
      <w:bookmarkStart w:id="3" w:name="_Toc26363764"/>
      <w:bookmarkStart w:id="4" w:name="_Toc26431922"/>
      <w:bookmarkStart w:id="5" w:name="_Toc90306772"/>
      <w:r w:rsidRPr="00160DDB">
        <w:rPr>
          <w:rFonts w:cs="Arial"/>
          <w:noProof/>
          <w:lang w:eastAsia="en-GB" w:bidi="ar-SA"/>
        </w:rPr>
        <w:drawing>
          <wp:anchor distT="0" distB="0" distL="114300" distR="114300" simplePos="0" relativeHeight="251658243" behindDoc="0" locked="0" layoutInCell="1" allowOverlap="1" wp14:anchorId="7CC7DD86" wp14:editId="1A8A6394">
            <wp:simplePos x="0" y="0"/>
            <wp:positionH relativeFrom="margin">
              <wp:align>center</wp:align>
            </wp:positionH>
            <wp:positionV relativeFrom="margin">
              <wp:posOffset>-143510</wp:posOffset>
            </wp:positionV>
            <wp:extent cx="1762125" cy="704850"/>
            <wp:effectExtent l="0" t="0" r="9525" b="0"/>
            <wp:wrapSquare wrapText="bothSides"/>
            <wp:docPr id="7" name="Picture 7" descr="S:\Marketing\Academies\St Johns\Future Generation Trust\Logo\Jpg\FTG_Logo_RGB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Academies\St Johns\Future Generation Trust\Logo\Jpg\FTG_Logo_RGB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14:paraId="04BE7BBA" w14:textId="77777777" w:rsidR="007626C5" w:rsidRDefault="007626C5" w:rsidP="001A68E3">
      <w:pPr>
        <w:ind w:left="-540" w:firstLine="540"/>
        <w:jc w:val="both"/>
      </w:pPr>
    </w:p>
    <w:p w14:paraId="1A9D4D83" w14:textId="77777777" w:rsidR="00B25C1C" w:rsidRDefault="00B25C1C" w:rsidP="001A68E3">
      <w:pPr>
        <w:ind w:left="-540" w:firstLine="540"/>
        <w:jc w:val="both"/>
      </w:pPr>
    </w:p>
    <w:p w14:paraId="1FB3643F" w14:textId="58371F30" w:rsidR="00E9722C" w:rsidRPr="00BB0AFD" w:rsidRDefault="00BB0AFD" w:rsidP="00E9722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BB0AFD">
        <w:rPr>
          <w:rFonts w:cs="Arial"/>
          <w:b/>
          <w:sz w:val="28"/>
          <w:szCs w:val="28"/>
        </w:rPr>
        <w:t>Moat Hall Primary Academy</w:t>
      </w:r>
    </w:p>
    <w:p w14:paraId="40198D91" w14:textId="77777777" w:rsidR="007626C5" w:rsidRDefault="00B25C1C" w:rsidP="00B25C1C">
      <w:pPr>
        <w:ind w:left="-540" w:firstLine="540"/>
        <w:jc w:val="center"/>
        <w:rPr>
          <w:b/>
          <w:sz w:val="32"/>
          <w:szCs w:val="32"/>
        </w:rPr>
      </w:pPr>
      <w:r w:rsidRPr="00B25C1C">
        <w:rPr>
          <w:b/>
          <w:sz w:val="32"/>
          <w:szCs w:val="32"/>
        </w:rPr>
        <w:t>Accessibility Plan</w:t>
      </w:r>
    </w:p>
    <w:p w14:paraId="2F58D4DC" w14:textId="463A51F7" w:rsidR="00E9722C" w:rsidRPr="00BB0AFD" w:rsidRDefault="00BB0AFD" w:rsidP="00E9722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BB0AFD">
        <w:rPr>
          <w:rFonts w:cs="Arial"/>
          <w:b/>
          <w:sz w:val="28"/>
          <w:szCs w:val="28"/>
        </w:rPr>
        <w:t>2023-2026</w:t>
      </w:r>
      <w:r w:rsidR="00E9722C" w:rsidRPr="00BB0AFD">
        <w:rPr>
          <w:rFonts w:cs="Arial"/>
          <w:b/>
          <w:sz w:val="28"/>
          <w:szCs w:val="28"/>
        </w:rPr>
        <w:t xml:space="preserve"> </w:t>
      </w:r>
    </w:p>
    <w:p w14:paraId="7DEAC5F3" w14:textId="77777777" w:rsidR="007626C5" w:rsidRPr="00B25C1C" w:rsidRDefault="007626C5" w:rsidP="001A68E3">
      <w:pPr>
        <w:ind w:left="-540" w:firstLine="540"/>
        <w:jc w:val="both"/>
        <w:rPr>
          <w:sz w:val="16"/>
          <w:szCs w:val="16"/>
        </w:rPr>
      </w:pPr>
    </w:p>
    <w:p w14:paraId="32B8E6CD" w14:textId="286874E0" w:rsidR="00B25C1C" w:rsidRPr="00F6333E" w:rsidRDefault="00B25C1C" w:rsidP="00B25C1C">
      <w:pPr>
        <w:jc w:val="both"/>
        <w:rPr>
          <w:rFonts w:cs="Arial"/>
        </w:rPr>
      </w:pPr>
      <w:r w:rsidRPr="00F6333E">
        <w:rPr>
          <w:rFonts w:cs="Arial"/>
        </w:rPr>
        <w:t xml:space="preserve">This plan should be read in conjunction with the </w:t>
      </w:r>
      <w:r w:rsidRPr="00B25C1C">
        <w:rPr>
          <w:rFonts w:cs="Arial"/>
          <w:b/>
        </w:rPr>
        <w:t xml:space="preserve">Whole </w:t>
      </w:r>
      <w:r w:rsidRPr="005D691A">
        <w:rPr>
          <w:rFonts w:cs="Arial"/>
          <w:b/>
        </w:rPr>
        <w:t>School Development Plan</w:t>
      </w:r>
      <w:r w:rsidRPr="00F6333E">
        <w:rPr>
          <w:rFonts w:cs="Arial"/>
        </w:rPr>
        <w:t xml:space="preserve"> and outlines the proposals of the </w:t>
      </w:r>
      <w:r w:rsidRPr="00B25C1C">
        <w:rPr>
          <w:rFonts w:cs="Arial"/>
          <w:b/>
        </w:rPr>
        <w:t>Local Governing Body</w:t>
      </w:r>
      <w:r w:rsidRPr="00F6333E">
        <w:rPr>
          <w:rFonts w:cs="Arial"/>
        </w:rPr>
        <w:t xml:space="preserve"> of </w:t>
      </w:r>
      <w:r w:rsidR="00BB0AFD" w:rsidRPr="00BB0AFD">
        <w:rPr>
          <w:rFonts w:cs="Arial"/>
        </w:rPr>
        <w:t>Moat Hall Primary Academy</w:t>
      </w:r>
      <w:r w:rsidR="00BB0AFD">
        <w:rPr>
          <w:rFonts w:cs="Arial"/>
          <w:b/>
          <w:color w:val="FF0000"/>
        </w:rPr>
        <w:t xml:space="preserve"> </w:t>
      </w:r>
      <w:r w:rsidR="00BB0AFD" w:rsidRPr="00BB0AFD">
        <w:rPr>
          <w:rFonts w:cs="Arial"/>
        </w:rPr>
        <w:t>to</w:t>
      </w:r>
      <w:r w:rsidRPr="00F6333E">
        <w:rPr>
          <w:rFonts w:cs="Arial"/>
        </w:rPr>
        <w:t xml:space="preserve"> increase access to education for pupils with disabilities in the three areas required by the planning d</w:t>
      </w:r>
      <w:r w:rsidR="00916149">
        <w:rPr>
          <w:rFonts w:cs="Arial"/>
        </w:rPr>
        <w:t xml:space="preserve">uties in the Equality Act 2010; </w:t>
      </w:r>
      <w:r w:rsidR="00916149" w:rsidRPr="00916149">
        <w:rPr>
          <w:rFonts w:cs="Arial"/>
        </w:rPr>
        <w:t>Curriculum, Physical Environment &amp; Information</w:t>
      </w:r>
      <w:r w:rsidR="00916149">
        <w:rPr>
          <w:rFonts w:cs="Arial"/>
        </w:rPr>
        <w:t>.</w:t>
      </w:r>
    </w:p>
    <w:p w14:paraId="7A7B131F" w14:textId="09C91B68" w:rsidR="00B25C1C" w:rsidRPr="00F6333E" w:rsidRDefault="00B25C1C" w:rsidP="00B25C1C">
      <w:pPr>
        <w:jc w:val="both"/>
        <w:rPr>
          <w:rFonts w:cs="Arial"/>
        </w:rPr>
      </w:pPr>
      <w:r w:rsidRPr="00F6333E">
        <w:rPr>
          <w:rFonts w:cs="Arial"/>
        </w:rPr>
        <w:t xml:space="preserve">A person is regarded as having a disability under the Act where the person has a physical or mental impairment that has a substantial and </w:t>
      </w:r>
      <w:r w:rsidR="00ED4A4E" w:rsidRPr="00F6333E">
        <w:rPr>
          <w:rFonts w:cs="Arial"/>
        </w:rPr>
        <w:t>long</w:t>
      </w:r>
      <w:r w:rsidR="00ED4A4E">
        <w:rPr>
          <w:rFonts w:cs="Arial"/>
        </w:rPr>
        <w:t>-term</w:t>
      </w:r>
      <w:r w:rsidRPr="00F6333E">
        <w:rPr>
          <w:rFonts w:cs="Arial"/>
        </w:rPr>
        <w:t xml:space="preserve"> adverse effect on their ability to carry out normal day-to-day activities.</w:t>
      </w:r>
    </w:p>
    <w:p w14:paraId="5E99857F" w14:textId="77777777" w:rsidR="00B25C1C" w:rsidRPr="00F6333E" w:rsidRDefault="00B25C1C" w:rsidP="00B25C1C">
      <w:pPr>
        <w:jc w:val="both"/>
        <w:rPr>
          <w:rFonts w:cs="Arial"/>
        </w:rPr>
      </w:pPr>
      <w:r w:rsidRPr="00F6333E">
        <w:rPr>
          <w:rFonts w:cs="Arial"/>
        </w:rPr>
        <w:t>This plan aims to:</w:t>
      </w:r>
    </w:p>
    <w:p w14:paraId="42A32F14" w14:textId="77777777" w:rsidR="00B25C1C" w:rsidRPr="00F6333E" w:rsidRDefault="00B25C1C" w:rsidP="00B25C1C">
      <w:pPr>
        <w:pStyle w:val="ListParagraph"/>
        <w:numPr>
          <w:ilvl w:val="0"/>
          <w:numId w:val="36"/>
        </w:numPr>
        <w:jc w:val="both"/>
      </w:pPr>
      <w:r w:rsidRPr="00F6333E">
        <w:t>Increase the extent to which pupils with disabilities can participate in the school curriculum.</w:t>
      </w:r>
    </w:p>
    <w:p w14:paraId="0951F939" w14:textId="77777777" w:rsidR="00B25C1C" w:rsidRPr="00F6333E" w:rsidRDefault="00B25C1C" w:rsidP="00B25C1C">
      <w:pPr>
        <w:pStyle w:val="ListParagraph"/>
        <w:numPr>
          <w:ilvl w:val="0"/>
          <w:numId w:val="36"/>
        </w:numPr>
        <w:jc w:val="both"/>
      </w:pPr>
      <w:r w:rsidRPr="00F6333E">
        <w:t>Impro</w:t>
      </w:r>
      <w:r>
        <w:t>ve the environment of the academy</w:t>
      </w:r>
      <w:r w:rsidRPr="00F6333E">
        <w:t xml:space="preserve"> to increase the extent to which pupils with disabilities can take advantage of education, benefits, facilities and associated services provided.</w:t>
      </w:r>
    </w:p>
    <w:p w14:paraId="28D2A2DA" w14:textId="77777777" w:rsidR="00B25C1C" w:rsidRPr="00F6333E" w:rsidRDefault="00B25C1C" w:rsidP="00B25C1C">
      <w:pPr>
        <w:pStyle w:val="ListParagraph"/>
        <w:numPr>
          <w:ilvl w:val="0"/>
          <w:numId w:val="36"/>
        </w:numPr>
        <w:jc w:val="both"/>
      </w:pPr>
      <w:r w:rsidRPr="00F6333E">
        <w:t>Improve the availability of accessible information</w:t>
      </w:r>
      <w:r>
        <w:t>,</w:t>
      </w:r>
      <w:r w:rsidRPr="00894EA1">
        <w:t xml:space="preserve"> </w:t>
      </w:r>
      <w:r w:rsidRPr="00F6333E">
        <w:t>which is readily available to other pupils</w:t>
      </w:r>
      <w:r>
        <w:t>,</w:t>
      </w:r>
      <w:r w:rsidRPr="00F6333E">
        <w:t xml:space="preserve"> to pupils with disabilities.</w:t>
      </w:r>
    </w:p>
    <w:p w14:paraId="33BE3FF1" w14:textId="731CB840" w:rsidR="00B25C1C" w:rsidRDefault="00B25C1C" w:rsidP="00B25C1C">
      <w:pPr>
        <w:jc w:val="both"/>
        <w:rPr>
          <w:rFonts w:cs="Arial"/>
        </w:rPr>
      </w:pPr>
      <w:r w:rsidRPr="00F6333E">
        <w:rPr>
          <w:rFonts w:cs="Arial"/>
        </w:rPr>
        <w:t>The above aims will be delivered within a reasonable time</w:t>
      </w:r>
      <w:r>
        <w:rPr>
          <w:rFonts w:cs="Arial"/>
        </w:rPr>
        <w:t>frame</w:t>
      </w:r>
      <w:r w:rsidRPr="00F6333E">
        <w:rPr>
          <w:rFonts w:cs="Arial"/>
        </w:rPr>
        <w:t xml:space="preserve">, and in ways which are determined after </w:t>
      </w:r>
      <w:r w:rsidR="00ED4A4E" w:rsidRPr="00F6333E">
        <w:rPr>
          <w:rFonts w:cs="Arial"/>
        </w:rPr>
        <w:t>considering</w:t>
      </w:r>
      <w:r w:rsidRPr="00F6333E">
        <w:rPr>
          <w:rFonts w:cs="Arial"/>
        </w:rPr>
        <w:t xml:space="preserve"> the pupil’s disabilities and the views of the parents/carers and pupil.</w:t>
      </w:r>
    </w:p>
    <w:p w14:paraId="24A7C39D" w14:textId="77777777" w:rsidR="00B25C1C" w:rsidRPr="00F6333E" w:rsidRDefault="00B25C1C" w:rsidP="00B25C1C">
      <w:pPr>
        <w:jc w:val="both"/>
        <w:rPr>
          <w:rFonts w:cs="Arial"/>
        </w:rPr>
      </w:pPr>
      <w:r w:rsidRPr="00F6333E">
        <w:rPr>
          <w:rFonts w:cs="Arial"/>
        </w:rPr>
        <w:t xml:space="preserve">The </w:t>
      </w:r>
      <w:r w:rsidR="00D66F4C">
        <w:rPr>
          <w:rFonts w:cs="Arial"/>
        </w:rPr>
        <w:t xml:space="preserve">Action Plan </w:t>
      </w:r>
      <w:r w:rsidRPr="00F6333E">
        <w:rPr>
          <w:rFonts w:cs="Arial"/>
        </w:rPr>
        <w:t>will be resourced, implemented, reviewed and revised regularly in consultation with:</w:t>
      </w:r>
    </w:p>
    <w:p w14:paraId="53082750" w14:textId="77777777" w:rsidR="00B25C1C" w:rsidRPr="00F6333E" w:rsidRDefault="00B25C1C" w:rsidP="00B25C1C">
      <w:pPr>
        <w:pStyle w:val="ListParagraph"/>
        <w:numPr>
          <w:ilvl w:val="0"/>
          <w:numId w:val="35"/>
        </w:numPr>
        <w:jc w:val="both"/>
      </w:pPr>
      <w:r w:rsidRPr="00F6333E">
        <w:t>The parents/carers of pupils</w:t>
      </w:r>
    </w:p>
    <w:p w14:paraId="7AD91AA0" w14:textId="77777777" w:rsidR="00B25C1C" w:rsidRPr="00F6333E" w:rsidRDefault="00B25C1C" w:rsidP="00B25C1C">
      <w:pPr>
        <w:pStyle w:val="ListParagraph"/>
        <w:numPr>
          <w:ilvl w:val="0"/>
          <w:numId w:val="35"/>
        </w:numPr>
        <w:jc w:val="both"/>
      </w:pPr>
      <w:r>
        <w:t>The H</w:t>
      </w:r>
      <w:r w:rsidRPr="00F6333E">
        <w:t>eadteacher and other relevant members of staff</w:t>
      </w:r>
    </w:p>
    <w:p w14:paraId="75DF61E9" w14:textId="77777777" w:rsidR="00B25C1C" w:rsidRPr="00F6333E" w:rsidRDefault="00B25C1C" w:rsidP="00B25C1C">
      <w:pPr>
        <w:pStyle w:val="ListParagraph"/>
        <w:numPr>
          <w:ilvl w:val="0"/>
          <w:numId w:val="35"/>
        </w:numPr>
        <w:jc w:val="both"/>
      </w:pPr>
      <w:r w:rsidRPr="00F6333E">
        <w:t>Governors</w:t>
      </w:r>
    </w:p>
    <w:p w14:paraId="15BC162B" w14:textId="77777777" w:rsidR="00B25C1C" w:rsidRPr="00F6333E" w:rsidRDefault="00B25C1C" w:rsidP="00B25C1C">
      <w:pPr>
        <w:pStyle w:val="ListParagraph"/>
        <w:numPr>
          <w:ilvl w:val="0"/>
          <w:numId w:val="35"/>
        </w:numPr>
        <w:jc w:val="both"/>
      </w:pPr>
      <w:r w:rsidRPr="00F6333E">
        <w:t>External partners</w:t>
      </w:r>
    </w:p>
    <w:p w14:paraId="6BAB2019" w14:textId="28F6AB44" w:rsidR="00B25C1C" w:rsidRPr="00F6333E" w:rsidRDefault="00B25C1C" w:rsidP="00B25C1C">
      <w:pPr>
        <w:jc w:val="both"/>
      </w:pPr>
      <w:r>
        <w:rPr>
          <w:rFonts w:cs="Arial"/>
        </w:rPr>
        <w:t xml:space="preserve">This plan will be </w:t>
      </w:r>
      <w:r w:rsidRPr="00F6333E">
        <w:rPr>
          <w:rFonts w:cs="Arial"/>
        </w:rPr>
        <w:t>reviewe</w:t>
      </w:r>
      <w:r>
        <w:rPr>
          <w:rFonts w:cs="Arial"/>
        </w:rPr>
        <w:t xml:space="preserve">d at least every three </w:t>
      </w:r>
      <w:r w:rsidR="003C7D43">
        <w:rPr>
          <w:rFonts w:cs="Arial"/>
        </w:rPr>
        <w:t>years but</w:t>
      </w:r>
      <w:r>
        <w:rPr>
          <w:rFonts w:cs="Arial"/>
        </w:rPr>
        <w:t xml:space="preserve"> may be updated more regularly</w:t>
      </w:r>
      <w:r w:rsidRPr="00F6333E">
        <w:rPr>
          <w:rFonts w:cs="Arial"/>
        </w:rPr>
        <w:t xml:space="preserve"> to </w:t>
      </w:r>
      <w:r w:rsidR="00ED4A4E" w:rsidRPr="00F6333E">
        <w:rPr>
          <w:rFonts w:cs="Arial"/>
        </w:rPr>
        <w:t>consider</w:t>
      </w:r>
      <w:r w:rsidRPr="00F6333E">
        <w:rPr>
          <w:rFonts w:cs="Arial"/>
        </w:rPr>
        <w:t xml:space="preserve"> t</w:t>
      </w:r>
      <w:r>
        <w:rPr>
          <w:rFonts w:cs="Arial"/>
        </w:rPr>
        <w:t>he changing needs of the academy</w:t>
      </w:r>
      <w:r w:rsidRPr="00F6333E">
        <w:rPr>
          <w:rFonts w:cs="Arial"/>
        </w:rPr>
        <w:t xml:space="preserve"> and </w:t>
      </w:r>
      <w:r>
        <w:rPr>
          <w:rFonts w:cs="Arial"/>
        </w:rPr>
        <w:t>its pupils.</w:t>
      </w:r>
    </w:p>
    <w:p w14:paraId="1EFB4CEE" w14:textId="77777777" w:rsidR="00B25C1C" w:rsidRDefault="00B25C1C">
      <w:pPr>
        <w:spacing w:after="0" w:line="240" w:lineRule="auto"/>
      </w:pPr>
      <w:r>
        <w:br w:type="page"/>
      </w:r>
    </w:p>
    <w:p w14:paraId="232DFB4D" w14:textId="77777777" w:rsidR="00593209" w:rsidRDefault="00593209" w:rsidP="001A68E3">
      <w:pPr>
        <w:ind w:left="-540" w:firstLine="540"/>
        <w:jc w:val="both"/>
        <w:sectPr w:rsidR="00593209" w:rsidSect="00973E42">
          <w:footerReference w:type="default" r:id="rId13"/>
          <w:pgSz w:w="11906" w:h="16838" w:code="9"/>
          <w:pgMar w:top="1134" w:right="1134" w:bottom="720" w:left="1134" w:header="1134" w:footer="709" w:gutter="0"/>
          <w:cols w:space="708"/>
          <w:titlePg/>
          <w:docGrid w:linePitch="360"/>
        </w:sectPr>
      </w:pPr>
    </w:p>
    <w:p w14:paraId="360E6E3F" w14:textId="175AAA9C" w:rsidR="00916149" w:rsidRPr="00BB0AFD" w:rsidRDefault="00BB0AFD" w:rsidP="00E9722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BB0AFD">
        <w:rPr>
          <w:rFonts w:cs="Arial"/>
          <w:b/>
          <w:sz w:val="28"/>
          <w:szCs w:val="28"/>
        </w:rPr>
        <w:lastRenderedPageBreak/>
        <w:t xml:space="preserve">Moat Hall Primary Academy </w:t>
      </w:r>
    </w:p>
    <w:p w14:paraId="62A84658" w14:textId="77777777" w:rsidR="00855555" w:rsidRDefault="00FF46B9" w:rsidP="00E9722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916149">
        <w:rPr>
          <w:rFonts w:cs="Arial"/>
          <w:b/>
          <w:sz w:val="28"/>
          <w:szCs w:val="28"/>
        </w:rPr>
        <w:t>Accessibility Plan – Action Plan</w:t>
      </w:r>
    </w:p>
    <w:p w14:paraId="6C9F878A" w14:textId="183185B7" w:rsidR="00E9722C" w:rsidRPr="00BB0AFD" w:rsidRDefault="00BB0AFD" w:rsidP="00E9722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BB0AFD">
        <w:rPr>
          <w:rFonts w:cs="Arial"/>
          <w:b/>
          <w:sz w:val="28"/>
          <w:szCs w:val="28"/>
        </w:rPr>
        <w:t>2023-2026</w:t>
      </w:r>
    </w:p>
    <w:p w14:paraId="3EB14E71" w14:textId="38777036" w:rsidR="00916149" w:rsidRDefault="00FF46B9" w:rsidP="00855555">
      <w:pPr>
        <w:spacing w:line="360" w:lineRule="auto"/>
        <w:jc w:val="both"/>
        <w:rPr>
          <w:rFonts w:cs="Arial"/>
        </w:rPr>
      </w:pPr>
      <w:r>
        <w:rPr>
          <w:rFonts w:cs="Arial"/>
        </w:rPr>
        <w:t>The Local Governing Body</w:t>
      </w:r>
      <w:r w:rsidR="00916149">
        <w:rPr>
          <w:rFonts w:cs="Arial"/>
        </w:rPr>
        <w:t xml:space="preserve"> has completed</w:t>
      </w:r>
      <w:r w:rsidRPr="00021506">
        <w:rPr>
          <w:rFonts w:cs="Arial"/>
        </w:rPr>
        <w:t xml:space="preserve"> an audit of the extent to which pupils wi</w:t>
      </w:r>
      <w:r>
        <w:rPr>
          <w:rFonts w:cs="Arial"/>
        </w:rPr>
        <w:t xml:space="preserve">th disabilities can access the </w:t>
      </w:r>
      <w:r w:rsidRPr="00FF46B9">
        <w:rPr>
          <w:rFonts w:cs="Arial"/>
          <w:b/>
        </w:rPr>
        <w:t>Curriculum</w:t>
      </w:r>
      <w:r>
        <w:rPr>
          <w:rFonts w:cs="Arial"/>
        </w:rPr>
        <w:t xml:space="preserve">, </w:t>
      </w:r>
      <w:r w:rsidRPr="00FF46B9">
        <w:rPr>
          <w:rFonts w:cs="Arial"/>
          <w:b/>
        </w:rPr>
        <w:t>Physical Environment</w:t>
      </w:r>
      <w:r>
        <w:rPr>
          <w:rFonts w:cs="Arial"/>
        </w:rPr>
        <w:t xml:space="preserve"> and </w:t>
      </w:r>
      <w:r w:rsidRPr="00FF46B9">
        <w:rPr>
          <w:rFonts w:cs="Arial"/>
          <w:b/>
        </w:rPr>
        <w:t xml:space="preserve">Information </w:t>
      </w:r>
      <w:r w:rsidRPr="00021506">
        <w:rPr>
          <w:rFonts w:cs="Arial"/>
        </w:rPr>
        <w:t xml:space="preserve">on an equal basis with their peers. </w:t>
      </w:r>
      <w:r>
        <w:rPr>
          <w:rFonts w:cs="Arial"/>
        </w:rPr>
        <w:t xml:space="preserve"> </w:t>
      </w:r>
      <w:r w:rsidR="00916149">
        <w:rPr>
          <w:rFonts w:cs="Arial"/>
        </w:rPr>
        <w:t>This Action Plan has been developed</w:t>
      </w:r>
      <w:r w:rsidRPr="00021506">
        <w:rPr>
          <w:rFonts w:cs="Arial"/>
        </w:rPr>
        <w:t xml:space="preserve"> to address specific gaps and improve access</w:t>
      </w:r>
      <w:r w:rsidR="001547AE">
        <w:rPr>
          <w:rFonts w:cs="Arial"/>
        </w:rPr>
        <w:t xml:space="preserve">, </w:t>
      </w:r>
      <w:r w:rsidRPr="00021506">
        <w:rPr>
          <w:rFonts w:cs="Arial"/>
        </w:rPr>
        <w:t xml:space="preserve">after </w:t>
      </w:r>
      <w:r w:rsidR="00ED4A4E" w:rsidRPr="00021506">
        <w:rPr>
          <w:rFonts w:cs="Arial"/>
        </w:rPr>
        <w:t>considering</w:t>
      </w:r>
      <w:r w:rsidRPr="00021506">
        <w:rPr>
          <w:rFonts w:cs="Arial"/>
        </w:rPr>
        <w:t xml:space="preserve"> pupils’ disabilities and the preferences of </w:t>
      </w:r>
      <w:r>
        <w:rPr>
          <w:rFonts w:cs="Arial"/>
        </w:rPr>
        <w:t xml:space="preserve">the pupils </w:t>
      </w:r>
      <w:r w:rsidRPr="00021506">
        <w:rPr>
          <w:rFonts w:cs="Arial"/>
        </w:rPr>
        <w:t>themselves or their parents/carers</w:t>
      </w:r>
      <w:r w:rsidR="001547AE">
        <w:rPr>
          <w:rFonts w:cs="Arial"/>
        </w:rPr>
        <w:t>.</w:t>
      </w:r>
    </w:p>
    <w:p w14:paraId="64E5334F" w14:textId="77777777" w:rsidR="00452A90" w:rsidRPr="00452A90" w:rsidRDefault="00452A90" w:rsidP="00855555">
      <w:pPr>
        <w:spacing w:line="360" w:lineRule="auto"/>
        <w:jc w:val="both"/>
        <w:rPr>
          <w:rFonts w:cs="Arial"/>
        </w:rPr>
      </w:pPr>
    </w:p>
    <w:tbl>
      <w:tblPr>
        <w:tblpPr w:leftFromText="180" w:rightFromText="180" w:vertAnchor="page" w:horzAnchor="margin" w:tblpY="34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11"/>
        <w:gridCol w:w="2693"/>
        <w:gridCol w:w="992"/>
        <w:gridCol w:w="851"/>
        <w:gridCol w:w="2835"/>
        <w:gridCol w:w="2835"/>
      </w:tblGrid>
      <w:tr w:rsidR="00855555" w:rsidRPr="00ED4A4E" w14:paraId="103E6767" w14:textId="77777777" w:rsidTr="00DF5BC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B153A" w14:textId="77777777" w:rsidR="00855555" w:rsidRPr="00ED4A4E" w:rsidRDefault="00855555" w:rsidP="00ED4A4E">
            <w:pPr>
              <w:spacing w:before="120" w:after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D006"/>
          </w:tcPr>
          <w:p w14:paraId="310A132F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2693" w:type="dxa"/>
            <w:shd w:val="clear" w:color="auto" w:fill="FFD006"/>
          </w:tcPr>
          <w:p w14:paraId="6A8EC5FE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992" w:type="dxa"/>
            <w:shd w:val="clear" w:color="auto" w:fill="FFD006"/>
          </w:tcPr>
          <w:p w14:paraId="024E8BE7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851" w:type="dxa"/>
            <w:shd w:val="clear" w:color="auto" w:fill="FFD006"/>
          </w:tcPr>
          <w:p w14:paraId="1A59BC3E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2835" w:type="dxa"/>
            <w:shd w:val="clear" w:color="auto" w:fill="FFD006"/>
          </w:tcPr>
          <w:p w14:paraId="7F974727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2835" w:type="dxa"/>
            <w:shd w:val="clear" w:color="auto" w:fill="FFD006"/>
          </w:tcPr>
          <w:p w14:paraId="69918F96" w14:textId="77777777" w:rsidR="00855555" w:rsidRPr="00ED4A4E" w:rsidRDefault="00855555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Review</w:t>
            </w:r>
          </w:p>
        </w:tc>
      </w:tr>
      <w:tr w:rsidR="00452A90" w:rsidRPr="00ED4A4E" w14:paraId="4CDA156D" w14:textId="77777777" w:rsidTr="00DF5BC7">
        <w:trPr>
          <w:trHeight w:val="2398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BABABC"/>
            <w:vAlign w:val="center"/>
          </w:tcPr>
          <w:p w14:paraId="09F2A69D" w14:textId="77777777" w:rsidR="00452A90" w:rsidRPr="00ED4A4E" w:rsidRDefault="00452A90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Short term</w:t>
            </w:r>
          </w:p>
          <w:p w14:paraId="3CEE9A32" w14:textId="77777777" w:rsidR="00452A90" w:rsidRPr="00ED4A4E" w:rsidRDefault="00452A90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(Year 1)</w:t>
            </w:r>
          </w:p>
          <w:p w14:paraId="508858D1" w14:textId="5A2C4DE6" w:rsidR="00452A90" w:rsidRPr="00ED4A4E" w:rsidRDefault="00452A90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4679F870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>Improving Curriculum Access</w:t>
            </w:r>
          </w:p>
          <w:p w14:paraId="2E69112C" w14:textId="6BB156C9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Continue with cycle of training for all staff in regard to individual SEND needs – </w:t>
            </w:r>
            <w:r w:rsidR="00ED4A4E" w:rsidRPr="00ED4A4E">
              <w:rPr>
                <w:rFonts w:cs="Arial"/>
                <w:color w:val="000000"/>
                <w:sz w:val="24"/>
                <w:szCs w:val="24"/>
              </w:rPr>
              <w:t>e.g.</w:t>
            </w: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 ASC, Dyslexia, Motor Skills, Speech and Language</w:t>
            </w:r>
          </w:p>
        </w:tc>
        <w:tc>
          <w:tcPr>
            <w:tcW w:w="2693" w:type="dxa"/>
            <w:shd w:val="clear" w:color="auto" w:fill="auto"/>
          </w:tcPr>
          <w:p w14:paraId="6DB751A7" w14:textId="4636BCB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Continual review of pupils needs with appropriate staff training undertaken in direct correlation to pupil needs (both individual and groups of pupils).</w:t>
            </w:r>
          </w:p>
        </w:tc>
        <w:tc>
          <w:tcPr>
            <w:tcW w:w="992" w:type="dxa"/>
            <w:shd w:val="clear" w:color="auto" w:fill="auto"/>
          </w:tcPr>
          <w:p w14:paraId="53D81D09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4DEC8EC" w14:textId="4D55F5F0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EB</w:t>
            </w:r>
          </w:p>
          <w:p w14:paraId="11CED9BB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All staff </w:t>
            </w:r>
          </w:p>
          <w:p w14:paraId="4783A629" w14:textId="77777777" w:rsidR="00452A90" w:rsidRPr="00ED4A4E" w:rsidRDefault="00452A90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  <w:p w14:paraId="2CC45D78" w14:textId="4093A915" w:rsidR="00452A90" w:rsidRPr="00ED4A4E" w:rsidRDefault="00452A90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85601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4984207" w14:textId="36E2E90C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Sept 2023 onwards </w:t>
            </w:r>
          </w:p>
          <w:p w14:paraId="6029BBF7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C1CE020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ACF0CF5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4428A5B" w14:textId="42B03E7E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D9E13E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1EEC736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05D1100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D61F130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5FEEC19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3337E88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9EC52C6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F81F4D1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1DCB2E2" w14:textId="454EA3E2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.</w:t>
            </w:r>
          </w:p>
          <w:p w14:paraId="07C27CA9" w14:textId="6BA2CAF0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60DB3" w14:textId="77777777" w:rsidR="00452A90" w:rsidRPr="00ED4A4E" w:rsidRDefault="00452A90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06A5171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49C32628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5E9B98A8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123C53DA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4B350A54" w14:textId="77777777" w:rsidR="00452A90" w:rsidRPr="00ED4A4E" w:rsidRDefault="00452A90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5BC7" w:rsidRPr="00ED4A4E" w14:paraId="58E1929B" w14:textId="77777777" w:rsidTr="00DF5BC7">
        <w:trPr>
          <w:trHeight w:val="4170"/>
        </w:trPr>
        <w:tc>
          <w:tcPr>
            <w:tcW w:w="1951" w:type="dxa"/>
            <w:vMerge/>
            <w:shd w:val="clear" w:color="auto" w:fill="BABABC"/>
            <w:vAlign w:val="center"/>
          </w:tcPr>
          <w:p w14:paraId="60DDB60B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66142ABD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>Improving the Physical Environment</w:t>
            </w:r>
          </w:p>
          <w:p w14:paraId="349D9E10" w14:textId="14E606F1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1. Annual review of the classroom environment – ensure classrooms continue to be organised with ease of access to appropriate resources, including specific and specialised resources for individual pupils (iPads, writing slopes, quiet areas etc).</w:t>
            </w:r>
          </w:p>
        </w:tc>
        <w:tc>
          <w:tcPr>
            <w:tcW w:w="2693" w:type="dxa"/>
            <w:shd w:val="clear" w:color="auto" w:fill="auto"/>
          </w:tcPr>
          <w:p w14:paraId="76C9DB45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1.1 Learning Walks to review classrooms – organisation and availability of resources/ health and safety walks </w:t>
            </w:r>
          </w:p>
          <w:p w14:paraId="38EDD8A2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179C8E5A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6C0DE1D1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6B9D07EF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1DC58C0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464328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All staff/ EB/ SEND/ H&amp;S Governor.</w:t>
            </w:r>
          </w:p>
          <w:p w14:paraId="5C8AF539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59EE858B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2E85FD50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E99B59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97712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Academic year 2023-2024 and annually.</w:t>
            </w:r>
          </w:p>
          <w:p w14:paraId="4ADC938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  <w:p w14:paraId="0B154C6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B2116D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F76D10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C3E1B51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9D7716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4925CA8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49D704D7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DF5BC7" w:rsidRPr="00ED4A4E" w14:paraId="2B794BC8" w14:textId="77777777" w:rsidTr="00DF5BC7">
        <w:trPr>
          <w:trHeight w:val="1200"/>
        </w:trPr>
        <w:tc>
          <w:tcPr>
            <w:tcW w:w="1951" w:type="dxa"/>
            <w:vMerge/>
            <w:shd w:val="clear" w:color="auto" w:fill="BABABC"/>
            <w:vAlign w:val="center"/>
          </w:tcPr>
          <w:p w14:paraId="3DAC818C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1DF2A9D5" w14:textId="1A84878A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2. Ensure clear visibility in outside areas with identified risk – e.g. steps</w:t>
            </w:r>
          </w:p>
        </w:tc>
        <w:tc>
          <w:tcPr>
            <w:tcW w:w="2693" w:type="dxa"/>
            <w:shd w:val="clear" w:color="auto" w:fill="auto"/>
          </w:tcPr>
          <w:p w14:paraId="016A1F48" w14:textId="6950828F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2.1 IJ/EB to identify specific locations to improve following site survey </w:t>
            </w:r>
          </w:p>
        </w:tc>
        <w:tc>
          <w:tcPr>
            <w:tcW w:w="992" w:type="dxa"/>
            <w:shd w:val="clear" w:color="auto" w:fill="auto"/>
          </w:tcPr>
          <w:p w14:paraId="5F3ECAE5" w14:textId="50ADA873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IJ/EB </w:t>
            </w:r>
          </w:p>
        </w:tc>
        <w:tc>
          <w:tcPr>
            <w:tcW w:w="851" w:type="dxa"/>
          </w:tcPr>
          <w:p w14:paraId="31243153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On</w:t>
            </w:r>
          </w:p>
          <w:p w14:paraId="06FAA6D0" w14:textId="5485060F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going </w:t>
            </w:r>
          </w:p>
        </w:tc>
        <w:tc>
          <w:tcPr>
            <w:tcW w:w="2835" w:type="dxa"/>
            <w:vMerge/>
          </w:tcPr>
          <w:p w14:paraId="58DE1C8E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5BFA46C1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DF5BC7" w:rsidRPr="00ED4A4E" w14:paraId="64C77938" w14:textId="77777777" w:rsidTr="00DF5BC7">
        <w:trPr>
          <w:trHeight w:val="1414"/>
        </w:trPr>
        <w:tc>
          <w:tcPr>
            <w:tcW w:w="1951" w:type="dxa"/>
            <w:vMerge/>
            <w:shd w:val="clear" w:color="auto" w:fill="BABABC"/>
            <w:vAlign w:val="center"/>
          </w:tcPr>
          <w:p w14:paraId="38FA0CF9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441CE0A0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 xml:space="preserve">Supporting Well-being </w:t>
            </w: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6BD0791B" w14:textId="7A26EE3E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Address pupil’s well-being through introduction of ELSA (groups/ individuals) </w:t>
            </w:r>
          </w:p>
        </w:tc>
        <w:tc>
          <w:tcPr>
            <w:tcW w:w="2693" w:type="dxa"/>
            <w:shd w:val="clear" w:color="auto" w:fill="auto"/>
          </w:tcPr>
          <w:p w14:paraId="49B79991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EB to deliver staff training- Supporting children with mental Health and SEMH</w:t>
            </w:r>
          </w:p>
          <w:p w14:paraId="37C2FA0B" w14:textId="2DA4B48A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KA to begin ELSA training </w:t>
            </w:r>
          </w:p>
        </w:tc>
        <w:tc>
          <w:tcPr>
            <w:tcW w:w="992" w:type="dxa"/>
            <w:shd w:val="clear" w:color="auto" w:fill="auto"/>
          </w:tcPr>
          <w:p w14:paraId="4DFF4DF0" w14:textId="7AF1013C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EB/KA</w:t>
            </w:r>
          </w:p>
        </w:tc>
        <w:tc>
          <w:tcPr>
            <w:tcW w:w="851" w:type="dxa"/>
          </w:tcPr>
          <w:p w14:paraId="565DD723" w14:textId="59B4701B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Sept 2023- ongoing </w:t>
            </w:r>
          </w:p>
        </w:tc>
        <w:tc>
          <w:tcPr>
            <w:tcW w:w="2835" w:type="dxa"/>
          </w:tcPr>
          <w:p w14:paraId="69134995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FABA3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DF5BC7" w:rsidRPr="00ED4A4E" w14:paraId="1716CE37" w14:textId="77777777" w:rsidTr="00DF5BC7">
        <w:trPr>
          <w:trHeight w:val="525"/>
        </w:trPr>
        <w:tc>
          <w:tcPr>
            <w:tcW w:w="1951" w:type="dxa"/>
            <w:vMerge/>
            <w:shd w:val="clear" w:color="auto" w:fill="BABABC"/>
            <w:vAlign w:val="center"/>
          </w:tcPr>
          <w:p w14:paraId="302738A5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E6DED74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  <w:u w:val="single"/>
              </w:rPr>
            </w:pPr>
            <w:r w:rsidRPr="00ED4A4E">
              <w:rPr>
                <w:rFonts w:cs="Arial"/>
                <w:sz w:val="24"/>
                <w:szCs w:val="24"/>
                <w:u w:val="single"/>
              </w:rPr>
              <w:t xml:space="preserve">Effective transition </w:t>
            </w:r>
          </w:p>
          <w:p w14:paraId="6BB4CC75" w14:textId="3A3B6B3C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sz w:val="24"/>
                <w:szCs w:val="24"/>
              </w:rPr>
              <w:t>To liaise with educational establishments to prepare for the intake of new children who transfer within year</w:t>
            </w:r>
          </w:p>
        </w:tc>
        <w:tc>
          <w:tcPr>
            <w:tcW w:w="2693" w:type="dxa"/>
            <w:shd w:val="clear" w:color="auto" w:fill="auto"/>
          </w:tcPr>
          <w:p w14:paraId="762408B9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To identify pupils who may need adapted or additional provision</w:t>
            </w:r>
          </w:p>
          <w:p w14:paraId="12149F64" w14:textId="3B1C5614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336E9C" w14:textId="062432A3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JK/EB</w:t>
            </w:r>
          </w:p>
        </w:tc>
        <w:tc>
          <w:tcPr>
            <w:tcW w:w="851" w:type="dxa"/>
          </w:tcPr>
          <w:p w14:paraId="1C2721C1" w14:textId="6D3DA99B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As requir ed</w:t>
            </w:r>
          </w:p>
        </w:tc>
        <w:tc>
          <w:tcPr>
            <w:tcW w:w="2835" w:type="dxa"/>
          </w:tcPr>
          <w:p w14:paraId="3DB19388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075B008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DEF04C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4469CBE" w14:textId="4B50B61F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93349E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43F7DE45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</w:tr>
      <w:tr w:rsidR="00DF5BC7" w:rsidRPr="00ED4A4E" w14:paraId="0DF8D184" w14:textId="77777777" w:rsidTr="00DF5BC7">
        <w:trPr>
          <w:trHeight w:val="2025"/>
        </w:trPr>
        <w:tc>
          <w:tcPr>
            <w:tcW w:w="1951" w:type="dxa"/>
            <w:vMerge w:val="restart"/>
            <w:shd w:val="clear" w:color="auto" w:fill="BABABC"/>
            <w:vAlign w:val="center"/>
          </w:tcPr>
          <w:p w14:paraId="6574D96D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Medium term</w:t>
            </w:r>
          </w:p>
          <w:p w14:paraId="4EC61AD7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(Year 2)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CD50EA5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>Improving Curriculum Access</w:t>
            </w:r>
          </w:p>
          <w:p w14:paraId="55F47E6A" w14:textId="3F03A83A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>1.</w:t>
            </w:r>
            <w:r w:rsidRPr="00ED4A4E">
              <w:rPr>
                <w:rFonts w:cs="Arial"/>
                <w:sz w:val="24"/>
                <w:szCs w:val="24"/>
              </w:rPr>
              <w:t xml:space="preserve">Continue with cycle of training based on SEN improvement plan.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28978" w14:textId="6E9E91CD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1.Staff training to implement strategies/ action plan and materials from STIAA accreditation.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F973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74E4596E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00452144" w14:textId="5A792745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EB</w:t>
            </w:r>
          </w:p>
          <w:p w14:paraId="7719DF2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98075B8" w14:textId="4F67EF51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FF57B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00BC05E9" w14:textId="4A5DB523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September 2023- </w:t>
            </w:r>
          </w:p>
          <w:p w14:paraId="1030E55E" w14:textId="34967125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D43DEF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EDC129A" w14:textId="008DC38C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C2746A" w14:textId="2DD9C13C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5BC7" w:rsidRPr="00ED4A4E" w14:paraId="2C143838" w14:textId="77777777" w:rsidTr="00DF5BC7">
        <w:trPr>
          <w:trHeight w:val="2565"/>
        </w:trPr>
        <w:tc>
          <w:tcPr>
            <w:tcW w:w="1951" w:type="dxa"/>
            <w:vMerge/>
            <w:shd w:val="clear" w:color="auto" w:fill="BABABC"/>
            <w:vAlign w:val="center"/>
          </w:tcPr>
          <w:p w14:paraId="24678CBB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1F4DC52B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2. Continue to monitor resources to facilitate inclusion. </w:t>
            </w:r>
          </w:p>
          <w:p w14:paraId="0591BA4C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  <w:p w14:paraId="42A4A783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  <w:p w14:paraId="41BB2561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  <w:p w14:paraId="4395DD72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color w:val="000000"/>
                <w:sz w:val="24"/>
                <w:szCs w:val="24"/>
                <w:u w:val="single"/>
              </w:rPr>
              <w:t>Improving the Physical Environment/ Supporting Well-being</w:t>
            </w:r>
          </w:p>
          <w:p w14:paraId="675D24C5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1.Support the development of mental well-being through creating additional spaces for pupils to access </w:t>
            </w:r>
            <w:r w:rsidRPr="00ED4A4E">
              <w:rPr>
                <w:rFonts w:cs="Arial"/>
                <w:sz w:val="24"/>
                <w:szCs w:val="24"/>
              </w:rPr>
              <w:t>for relaxation.</w:t>
            </w:r>
          </w:p>
          <w:p w14:paraId="7B5888E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0E89295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38E95B6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2F6FEA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2. SEN learning walks to monitor effective use of additional provision/ resources </w:t>
            </w:r>
          </w:p>
          <w:p w14:paraId="75E536F3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  <w:p w14:paraId="757A0B66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  <w:p w14:paraId="66144376" w14:textId="188B72F9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1.1 Forest school area developed to be used for wellbeing lessons.</w:t>
            </w:r>
          </w:p>
          <w:p w14:paraId="326CE600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1.2 Timetable/ staff use of forest school to allow for further groups of pupils to access.  </w:t>
            </w:r>
          </w:p>
          <w:p w14:paraId="00122E4E" w14:textId="16C06991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1.3 Development of a relaxation/calm space in KS2 area to ensure this facility can be consistently accessed by groups as part of sensory diet.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768B9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EB</w:t>
            </w:r>
          </w:p>
          <w:p w14:paraId="2BA9554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1A3956FE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24CB0BB7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1C8D4339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548708E1" w14:textId="7258B014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EB/HRJ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87901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 xml:space="preserve">Ongoing </w:t>
            </w:r>
          </w:p>
          <w:p w14:paraId="71A6DF7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29D80312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5EFA826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5B6C6F76" w14:textId="4B69CAD0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color w:val="000000"/>
                <w:sz w:val="24"/>
                <w:szCs w:val="24"/>
              </w:rPr>
              <w:t>Spring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CF388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7974D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5BC7" w:rsidRPr="00ED4A4E" w14:paraId="0F97E666" w14:textId="77777777" w:rsidTr="00DF5BC7">
        <w:trPr>
          <w:trHeight w:val="2280"/>
        </w:trPr>
        <w:tc>
          <w:tcPr>
            <w:tcW w:w="1951" w:type="dxa"/>
            <w:vMerge w:val="restart"/>
            <w:shd w:val="clear" w:color="auto" w:fill="BABABC"/>
            <w:vAlign w:val="center"/>
          </w:tcPr>
          <w:p w14:paraId="7E4FF025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72D3768C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81F895F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1D8A619D" w14:textId="2407539E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Long term</w:t>
            </w:r>
          </w:p>
          <w:p w14:paraId="60CF8166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color w:val="000000"/>
                <w:sz w:val="24"/>
                <w:szCs w:val="24"/>
              </w:rPr>
              <w:t>(Year 3)</w:t>
            </w:r>
          </w:p>
        </w:tc>
        <w:tc>
          <w:tcPr>
            <w:tcW w:w="3011" w:type="dxa"/>
            <w:shd w:val="clear" w:color="auto" w:fill="auto"/>
          </w:tcPr>
          <w:p w14:paraId="506F786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  <w:u w:val="single"/>
              </w:rPr>
            </w:pPr>
            <w:r w:rsidRPr="00ED4A4E">
              <w:rPr>
                <w:rFonts w:ascii="Arial" w:hAnsi="Arial" w:cs="Arial"/>
                <w:bCs/>
                <w:iCs/>
                <w:u w:val="single"/>
              </w:rPr>
              <w:t xml:space="preserve">Improving Curriculum Access </w:t>
            </w:r>
          </w:p>
          <w:p w14:paraId="27EB43ED" w14:textId="6B3C2F86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1. Access arrangements to meet individual needs when taking tests etc. will be applied for and support provided as required.</w:t>
            </w:r>
          </w:p>
        </w:tc>
        <w:tc>
          <w:tcPr>
            <w:tcW w:w="2693" w:type="dxa"/>
            <w:shd w:val="clear" w:color="auto" w:fill="auto"/>
          </w:tcPr>
          <w:p w14:paraId="5B0443E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DAE290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D697E5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1.1 Ensure appropriate testing and reports are provided in order to apply for access arrangements </w:t>
            </w:r>
          </w:p>
          <w:p w14:paraId="431F8B7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C3559B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799A25C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40884F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9BA252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52F2215" w14:textId="7F3062FE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SLT/Y6 staff </w:t>
            </w:r>
          </w:p>
          <w:p w14:paraId="7C3B30DA" w14:textId="441AFF60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  <w:p w14:paraId="05CE285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50EF335A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391ED0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03FA7A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BF64CEF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A7D58F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7B8CC75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5788619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Annually </w:t>
            </w:r>
          </w:p>
          <w:p w14:paraId="2613F94E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74FE1F3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7E9C257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755CED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1ED307A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2F2386E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EBED95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9C3022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5936BCEE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3FACEBA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7D98E5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16B9200" w14:textId="203742A1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6CCF320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5BC7" w:rsidRPr="00ED4A4E" w14:paraId="43FC57C3" w14:textId="77777777" w:rsidTr="00DF5BC7">
        <w:trPr>
          <w:trHeight w:val="1822"/>
        </w:trPr>
        <w:tc>
          <w:tcPr>
            <w:tcW w:w="1951" w:type="dxa"/>
            <w:vMerge/>
            <w:shd w:val="clear" w:color="auto" w:fill="BABABC"/>
            <w:vAlign w:val="center"/>
          </w:tcPr>
          <w:p w14:paraId="748FC57B" w14:textId="77777777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5CAB5453" w14:textId="3023D3A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D4A4E">
              <w:rPr>
                <w:rFonts w:cs="Arial"/>
                <w:sz w:val="24"/>
                <w:szCs w:val="24"/>
              </w:rPr>
              <w:t>2. Continue to monitor resources to facilitate inclusion. Continue staff training for inclusion in line with SEND action plan</w:t>
            </w:r>
          </w:p>
          <w:p w14:paraId="6CC5A197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  <w:u w:val="single"/>
              </w:rPr>
            </w:pPr>
            <w:r w:rsidRPr="00ED4A4E">
              <w:rPr>
                <w:rFonts w:ascii="Arial" w:hAnsi="Arial" w:cs="Arial"/>
                <w:bCs/>
                <w:iCs/>
                <w:u w:val="single"/>
              </w:rPr>
              <w:t xml:space="preserve">Improving the Physical Environment </w:t>
            </w:r>
          </w:p>
          <w:p w14:paraId="74D5052E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56ACB6F1" w14:textId="77777777" w:rsidR="00ED4A4E" w:rsidRPr="00ED4A4E" w:rsidRDefault="00ED4A4E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To ensure all legal requirements are met. Building plans/ documentation. </w:t>
            </w:r>
          </w:p>
          <w:p w14:paraId="3AF32127" w14:textId="77777777" w:rsidR="00ED4A4E" w:rsidRPr="00ED4A4E" w:rsidRDefault="00ED4A4E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Any new building additions or alterations are organised to allow optimum access for pupils with disabilities. </w:t>
            </w:r>
          </w:p>
          <w:p w14:paraId="4A97EB5B" w14:textId="396D73B9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  <w:bCs/>
                <w:iCs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39353AC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A1B9B6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2.staff training updated/ hearing impairment, asthma, dyslexia.</w:t>
            </w:r>
          </w:p>
          <w:p w14:paraId="2025E5CF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8EE07CB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EADEF89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0461D3A" w14:textId="7217D789" w:rsidR="00ED4A4E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1.1 Consult with builders, FGT and LA officers to ensure that all </w:t>
            </w:r>
            <w:r w:rsidR="00ED4A4E" w:rsidRPr="00ED4A4E">
              <w:rPr>
                <w:rFonts w:ascii="Arial" w:hAnsi="Arial" w:cs="Arial"/>
              </w:rPr>
              <w:t xml:space="preserve">legal requirements are met in terms of disability access. Organise any new projects to achieve optimum accessibility for pupils with disabilities </w:t>
            </w:r>
          </w:p>
          <w:p w14:paraId="412CDCA6" w14:textId="7B80EDC4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D6671B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73E40D7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EB</w:t>
            </w:r>
          </w:p>
          <w:p w14:paraId="4A4A3D4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D1D2648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0252641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DD56D5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FD1616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F2C2B3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JK/IJ</w:t>
            </w:r>
          </w:p>
          <w:p w14:paraId="1C819AEB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320F1FA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711996EE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819D3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5789B6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On going</w:t>
            </w:r>
          </w:p>
          <w:p w14:paraId="1EED704B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5F9AC7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65AF69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620808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Ongoing </w:t>
            </w:r>
          </w:p>
          <w:p w14:paraId="7DC0255D" w14:textId="5F3BF51E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Annu</w:t>
            </w:r>
            <w:r w:rsidR="00ED4A4E" w:rsidRPr="00ED4A4E">
              <w:rPr>
                <w:rFonts w:ascii="Arial" w:hAnsi="Arial" w:cs="Arial"/>
              </w:rPr>
              <w:t>ally</w:t>
            </w:r>
          </w:p>
        </w:tc>
        <w:tc>
          <w:tcPr>
            <w:tcW w:w="2835" w:type="dxa"/>
            <w:shd w:val="clear" w:color="auto" w:fill="auto"/>
          </w:tcPr>
          <w:p w14:paraId="4F665932" w14:textId="77777777" w:rsidR="00DF5BC7" w:rsidRPr="00ED4A4E" w:rsidRDefault="00DF5BC7" w:rsidP="00ED4A4E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78A91C" w14:textId="77777777" w:rsidR="00DF5BC7" w:rsidRPr="00ED4A4E" w:rsidRDefault="00DF5BC7" w:rsidP="00ED4A4E">
            <w:pPr>
              <w:spacing w:before="120" w:after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5BC7" w:rsidRPr="00ED4A4E" w14:paraId="7D3F145B" w14:textId="77777777" w:rsidTr="00DF5BC7">
        <w:trPr>
          <w:trHeight w:val="1493"/>
        </w:trPr>
        <w:tc>
          <w:tcPr>
            <w:tcW w:w="1951" w:type="dxa"/>
            <w:shd w:val="clear" w:color="auto" w:fill="BFBFBF" w:themeFill="background1" w:themeFillShade="BF"/>
          </w:tcPr>
          <w:p w14:paraId="19F7C9AE" w14:textId="77777777" w:rsidR="00DF5BC7" w:rsidRPr="00ED4A4E" w:rsidRDefault="00DF5BC7" w:rsidP="00ED4A4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C445EBE" w14:textId="5200D1AE" w:rsidR="00DF5BC7" w:rsidRPr="00ED4A4E" w:rsidRDefault="00DF5BC7" w:rsidP="00ED4A4E">
            <w:pPr>
              <w:spacing w:before="120"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D4A4E">
              <w:rPr>
                <w:rFonts w:cs="Arial"/>
                <w:b/>
                <w:sz w:val="24"/>
                <w:szCs w:val="24"/>
              </w:rPr>
              <w:t xml:space="preserve">Parent Support  </w:t>
            </w:r>
          </w:p>
        </w:tc>
        <w:tc>
          <w:tcPr>
            <w:tcW w:w="3011" w:type="dxa"/>
          </w:tcPr>
          <w:p w14:paraId="0478E64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  <w:u w:val="single"/>
              </w:rPr>
            </w:pPr>
            <w:r w:rsidRPr="00ED4A4E">
              <w:rPr>
                <w:rFonts w:ascii="Arial" w:hAnsi="Arial" w:cs="Arial"/>
                <w:u w:val="single"/>
              </w:rPr>
              <w:t>Improving Access to Information</w:t>
            </w:r>
          </w:p>
          <w:p w14:paraId="2D268151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93BC64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1. School literature and information to be made available in alternative formats, as required by parents and other stakeholders.</w:t>
            </w:r>
          </w:p>
          <w:p w14:paraId="4531B6E8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F42AF76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2. SEND information on the website to support parental involvement and offer additional support through outside agencies  </w:t>
            </w:r>
          </w:p>
          <w:p w14:paraId="5C51F8CA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FC23CB1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99F2DF0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55F36887" w14:textId="5D2517B1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  <w:bCs/>
                <w:iCs/>
                <w:u w:val="single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2198BD2C" w14:textId="7203DD16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1. Continue to provide electronic copies of key written material on the website. Providing copies on information in alternative formats, </w:t>
            </w:r>
            <w:r w:rsidR="00ED4A4E" w:rsidRPr="00ED4A4E">
              <w:rPr>
                <w:rFonts w:ascii="Arial" w:hAnsi="Arial" w:cs="Arial"/>
              </w:rPr>
              <w:t>e.g.</w:t>
            </w:r>
            <w:r w:rsidRPr="00ED4A4E">
              <w:rPr>
                <w:rFonts w:ascii="Arial" w:hAnsi="Arial" w:cs="Arial"/>
              </w:rPr>
              <w:t xml:space="preserve"> larger font etc to meet individual needs.</w:t>
            </w:r>
          </w:p>
          <w:p w14:paraId="7B9E04F1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8308816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2. Website to be kept updated with relevant support/ contact details. External information from agencies disseminated to relevant families. </w:t>
            </w:r>
          </w:p>
          <w:p w14:paraId="75FDE426" w14:textId="7D38CB91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021BDE55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ZHB/</w:t>
            </w:r>
          </w:p>
          <w:p w14:paraId="022D25F2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Office staff</w:t>
            </w:r>
          </w:p>
          <w:p w14:paraId="191557D6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2D76994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7CFA37DC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63DEC88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0A7EFC1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35A58A7E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ABED346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75BBF38D" w14:textId="77777777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467B613B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>AM/ ZHB</w:t>
            </w:r>
          </w:p>
          <w:p w14:paraId="064DFBC3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8C02DD2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FAAC427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8266F3B" w14:textId="77E6013E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45AC4E36" w14:textId="0F98CBF1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By Academic Year 2023</w:t>
            </w:r>
          </w:p>
          <w:p w14:paraId="7E4148BA" w14:textId="73D48921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>On going</w:t>
            </w:r>
          </w:p>
          <w:p w14:paraId="299002FB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7A0D132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7746F61" w14:textId="1ED8A0E2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  <w:r w:rsidRPr="00ED4A4E">
              <w:rPr>
                <w:rFonts w:cs="Arial"/>
                <w:sz w:val="24"/>
                <w:szCs w:val="24"/>
              </w:rPr>
              <w:t xml:space="preserve">Ongoing </w:t>
            </w:r>
          </w:p>
          <w:p w14:paraId="48E1C9EF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90CACAB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648E39B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585F3C9" w14:textId="4DCA9CA3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037152" w14:textId="77777777" w:rsidR="00DF5BC7" w:rsidRPr="00ED4A4E" w:rsidRDefault="00DF5BC7" w:rsidP="00ED4A4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EE65F8D" w14:textId="2AA1DE44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EC95E4" w14:textId="15D6D625" w:rsidR="00DF5BC7" w:rsidRPr="00ED4A4E" w:rsidRDefault="00DF5BC7" w:rsidP="00ED4A4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D4A4E">
              <w:rPr>
                <w:rFonts w:ascii="Arial" w:hAnsi="Arial" w:cs="Arial"/>
              </w:rPr>
              <w:t xml:space="preserve"> </w:t>
            </w:r>
          </w:p>
        </w:tc>
      </w:tr>
    </w:tbl>
    <w:p w14:paraId="516E8D61" w14:textId="77777777" w:rsidR="00855555" w:rsidRPr="00E9722C" w:rsidRDefault="00855555" w:rsidP="00E9722C">
      <w:pPr>
        <w:ind w:left="-540" w:firstLine="540"/>
        <w:jc w:val="both"/>
        <w:rPr>
          <w:sz w:val="16"/>
          <w:szCs w:val="16"/>
        </w:rPr>
      </w:pPr>
    </w:p>
    <w:sectPr w:rsidR="00855555" w:rsidRPr="00E9722C" w:rsidSect="00593209">
      <w:pgSz w:w="16838" w:h="11906" w:orient="landscape" w:code="9"/>
      <w:pgMar w:top="1134" w:right="1134" w:bottom="1134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A8C2" w14:textId="77777777" w:rsidR="004F6174" w:rsidRDefault="004F6174" w:rsidP="00CF7710">
      <w:pPr>
        <w:spacing w:after="0" w:line="240" w:lineRule="auto"/>
      </w:pPr>
      <w:r>
        <w:separator/>
      </w:r>
    </w:p>
  </w:endnote>
  <w:endnote w:type="continuationSeparator" w:id="0">
    <w:p w14:paraId="7CC56540" w14:textId="77777777" w:rsidR="004F6174" w:rsidRDefault="004F6174" w:rsidP="00CF7710">
      <w:pPr>
        <w:spacing w:after="0" w:line="240" w:lineRule="auto"/>
      </w:pPr>
      <w:r>
        <w:continuationSeparator/>
      </w:r>
    </w:p>
  </w:endnote>
  <w:endnote w:type="continuationNotice" w:id="1">
    <w:p w14:paraId="5AC8D632" w14:textId="77777777" w:rsidR="004F6174" w:rsidRDefault="004F6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999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4AAB8" w14:textId="77777777" w:rsidR="004F6174" w:rsidRDefault="004F6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363220" w14:textId="77777777" w:rsidR="004F6174" w:rsidRPr="00177861" w:rsidRDefault="004F6174" w:rsidP="00177861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A269" w14:textId="77777777" w:rsidR="004F6174" w:rsidRDefault="004F6174" w:rsidP="00CF7710">
      <w:pPr>
        <w:spacing w:after="0" w:line="240" w:lineRule="auto"/>
      </w:pPr>
      <w:r>
        <w:separator/>
      </w:r>
    </w:p>
  </w:footnote>
  <w:footnote w:type="continuationSeparator" w:id="0">
    <w:p w14:paraId="36A29125" w14:textId="77777777" w:rsidR="004F6174" w:rsidRDefault="004F6174" w:rsidP="00CF7710">
      <w:pPr>
        <w:spacing w:after="0" w:line="240" w:lineRule="auto"/>
      </w:pPr>
      <w:r>
        <w:continuationSeparator/>
      </w:r>
    </w:p>
  </w:footnote>
  <w:footnote w:type="continuationNotice" w:id="1">
    <w:p w14:paraId="4202AD88" w14:textId="77777777" w:rsidR="004F6174" w:rsidRDefault="004F61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137"/>
    <w:multiLevelType w:val="hybridMultilevel"/>
    <w:tmpl w:val="CD6ADFEE"/>
    <w:lvl w:ilvl="0" w:tplc="DBF4C73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34FEB"/>
    <w:multiLevelType w:val="multilevel"/>
    <w:tmpl w:val="0454581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e2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4C3"/>
    <w:multiLevelType w:val="hybridMultilevel"/>
    <w:tmpl w:val="00D0AA66"/>
    <w:lvl w:ilvl="0" w:tplc="88F6F0B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41B"/>
    <w:multiLevelType w:val="hybridMultilevel"/>
    <w:tmpl w:val="10D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EED"/>
    <w:multiLevelType w:val="hybridMultilevel"/>
    <w:tmpl w:val="D1B0C60E"/>
    <w:lvl w:ilvl="0" w:tplc="08090019">
      <w:start w:val="1"/>
      <w:numFmt w:val="lowerLetter"/>
      <w:lvlText w:val="%1."/>
      <w:lvlJc w:val="left"/>
      <w:pPr>
        <w:tabs>
          <w:tab w:val="num" w:pos="510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26D29"/>
    <w:multiLevelType w:val="hybridMultilevel"/>
    <w:tmpl w:val="E0B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872"/>
    <w:multiLevelType w:val="hybridMultilevel"/>
    <w:tmpl w:val="4AB0C8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3359E"/>
    <w:multiLevelType w:val="multilevel"/>
    <w:tmpl w:val="B558A5D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C2D5A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99D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3201"/>
    <w:multiLevelType w:val="hybridMultilevel"/>
    <w:tmpl w:val="2F8420D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A1C"/>
    <w:multiLevelType w:val="hybridMultilevel"/>
    <w:tmpl w:val="8480CA4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1040703"/>
    <w:multiLevelType w:val="hybridMultilevel"/>
    <w:tmpl w:val="4BF8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6140"/>
    <w:multiLevelType w:val="hybridMultilevel"/>
    <w:tmpl w:val="365E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470DB0"/>
    <w:multiLevelType w:val="multilevel"/>
    <w:tmpl w:val="BB5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26C3E"/>
    <w:multiLevelType w:val="multilevel"/>
    <w:tmpl w:val="B198C4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56B4E2E"/>
    <w:multiLevelType w:val="hybridMultilevel"/>
    <w:tmpl w:val="B3FEA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61F84"/>
    <w:multiLevelType w:val="hybridMultilevel"/>
    <w:tmpl w:val="72BC0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1F259D"/>
    <w:multiLevelType w:val="hybridMultilevel"/>
    <w:tmpl w:val="58F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6233C"/>
    <w:multiLevelType w:val="singleLevel"/>
    <w:tmpl w:val="017EB76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A3531D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B0CC2"/>
    <w:multiLevelType w:val="hybridMultilevel"/>
    <w:tmpl w:val="3D0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63EB"/>
    <w:multiLevelType w:val="hybridMultilevel"/>
    <w:tmpl w:val="A57AE392"/>
    <w:lvl w:ilvl="0" w:tplc="221A947E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6" w15:restartNumberingAfterBreak="0">
    <w:nsid w:val="55A85FD4"/>
    <w:multiLevelType w:val="hybridMultilevel"/>
    <w:tmpl w:val="2FCE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15AD"/>
    <w:multiLevelType w:val="hybridMultilevel"/>
    <w:tmpl w:val="05D2BA72"/>
    <w:lvl w:ilvl="0" w:tplc="4A1A49FE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5C8B1BE7"/>
    <w:multiLevelType w:val="hybridMultilevel"/>
    <w:tmpl w:val="5B3A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97404"/>
    <w:multiLevelType w:val="singleLevel"/>
    <w:tmpl w:val="2904DB2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E61453A"/>
    <w:multiLevelType w:val="hybridMultilevel"/>
    <w:tmpl w:val="ED68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A671E"/>
    <w:multiLevelType w:val="hybridMultilevel"/>
    <w:tmpl w:val="90BA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351B"/>
    <w:multiLevelType w:val="multilevel"/>
    <w:tmpl w:val="F84E5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7D4119"/>
    <w:multiLevelType w:val="hybridMultilevel"/>
    <w:tmpl w:val="51F6C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2C7840"/>
    <w:multiLevelType w:val="hybridMultilevel"/>
    <w:tmpl w:val="F9F0F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D0DDC"/>
    <w:multiLevelType w:val="hybridMultilevel"/>
    <w:tmpl w:val="AA18FFF8"/>
    <w:lvl w:ilvl="0" w:tplc="0809000F">
      <w:start w:val="1"/>
      <w:numFmt w:val="decimal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C17AE"/>
    <w:multiLevelType w:val="hybridMultilevel"/>
    <w:tmpl w:val="3F32BE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34"/>
  </w:num>
  <w:num w:numId="7">
    <w:abstractNumId w:val="35"/>
  </w:num>
  <w:num w:numId="8">
    <w:abstractNumId w:val="36"/>
  </w:num>
  <w:num w:numId="9">
    <w:abstractNumId w:val="5"/>
  </w:num>
  <w:num w:numId="10">
    <w:abstractNumId w:val="33"/>
  </w:num>
  <w:num w:numId="11">
    <w:abstractNumId w:val="30"/>
  </w:num>
  <w:num w:numId="12">
    <w:abstractNumId w:val="21"/>
  </w:num>
  <w:num w:numId="13">
    <w:abstractNumId w:val="7"/>
  </w:num>
  <w:num w:numId="14">
    <w:abstractNumId w:val="16"/>
  </w:num>
  <w:num w:numId="15">
    <w:abstractNumId w:val="18"/>
  </w:num>
  <w:num w:numId="16">
    <w:abstractNumId w:val="32"/>
  </w:num>
  <w:num w:numId="17">
    <w:abstractNumId w:val="24"/>
  </w:num>
  <w:num w:numId="18">
    <w:abstractNumId w:val="37"/>
  </w:num>
  <w:num w:numId="19">
    <w:abstractNumId w:val="27"/>
  </w:num>
  <w:num w:numId="20">
    <w:abstractNumId w:val="6"/>
  </w:num>
  <w:num w:numId="21">
    <w:abstractNumId w:val="38"/>
  </w:num>
  <w:num w:numId="22">
    <w:abstractNumId w:val="9"/>
  </w:num>
  <w:num w:numId="23">
    <w:abstractNumId w:val="2"/>
  </w:num>
  <w:num w:numId="24">
    <w:abstractNumId w:val="11"/>
  </w:num>
  <w:num w:numId="25">
    <w:abstractNumId w:val="23"/>
  </w:num>
  <w:num w:numId="26">
    <w:abstractNumId w:val="20"/>
  </w:num>
  <w:num w:numId="27">
    <w:abstractNumId w:val="28"/>
  </w:num>
  <w:num w:numId="28">
    <w:abstractNumId w:val="0"/>
  </w:num>
  <w:num w:numId="29">
    <w:abstractNumId w:val="22"/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142" w:hanging="43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5"/>
  </w:num>
  <w:num w:numId="32">
    <w:abstractNumId w:val="12"/>
  </w:num>
  <w:num w:numId="33">
    <w:abstractNumId w:val="10"/>
  </w:num>
  <w:num w:numId="34">
    <w:abstractNumId w:val="4"/>
  </w:num>
  <w:num w:numId="35">
    <w:abstractNumId w:val="14"/>
  </w:num>
  <w:num w:numId="36">
    <w:abstractNumId w:val="13"/>
  </w:num>
  <w:num w:numId="37">
    <w:abstractNumId w:val="31"/>
  </w:num>
  <w:num w:numId="38">
    <w:abstractNumId w:val="3"/>
  </w:num>
  <w:num w:numId="39">
    <w:abstractNumId w:val="26"/>
  </w:num>
  <w:num w:numId="4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9A"/>
    <w:rsid w:val="000002A9"/>
    <w:rsid w:val="00002C5F"/>
    <w:rsid w:val="0001499E"/>
    <w:rsid w:val="00014BDD"/>
    <w:rsid w:val="00017E38"/>
    <w:rsid w:val="00020128"/>
    <w:rsid w:val="000206D2"/>
    <w:rsid w:val="00020779"/>
    <w:rsid w:val="00021981"/>
    <w:rsid w:val="00021E2E"/>
    <w:rsid w:val="00022AF6"/>
    <w:rsid w:val="00023651"/>
    <w:rsid w:val="00024E66"/>
    <w:rsid w:val="00026079"/>
    <w:rsid w:val="00027606"/>
    <w:rsid w:val="00027F12"/>
    <w:rsid w:val="00030908"/>
    <w:rsid w:val="00030B4B"/>
    <w:rsid w:val="00042B77"/>
    <w:rsid w:val="000444F8"/>
    <w:rsid w:val="00045796"/>
    <w:rsid w:val="00045C3E"/>
    <w:rsid w:val="00050F52"/>
    <w:rsid w:val="0005110C"/>
    <w:rsid w:val="00056019"/>
    <w:rsid w:val="00065D68"/>
    <w:rsid w:val="0006741C"/>
    <w:rsid w:val="00067ECD"/>
    <w:rsid w:val="00071CEE"/>
    <w:rsid w:val="0007396F"/>
    <w:rsid w:val="0007508A"/>
    <w:rsid w:val="00085C84"/>
    <w:rsid w:val="0009282B"/>
    <w:rsid w:val="00093325"/>
    <w:rsid w:val="00093425"/>
    <w:rsid w:val="00093D9E"/>
    <w:rsid w:val="000970B1"/>
    <w:rsid w:val="000A14B3"/>
    <w:rsid w:val="000A1F4D"/>
    <w:rsid w:val="000A30D3"/>
    <w:rsid w:val="000A51A5"/>
    <w:rsid w:val="000A7A6A"/>
    <w:rsid w:val="000B0DE9"/>
    <w:rsid w:val="000B0E7F"/>
    <w:rsid w:val="000B239D"/>
    <w:rsid w:val="000B2700"/>
    <w:rsid w:val="000B56A8"/>
    <w:rsid w:val="000B718D"/>
    <w:rsid w:val="000C0F95"/>
    <w:rsid w:val="000C3EBA"/>
    <w:rsid w:val="000C4CC9"/>
    <w:rsid w:val="000C7A23"/>
    <w:rsid w:val="000D1E0F"/>
    <w:rsid w:val="000D2426"/>
    <w:rsid w:val="000D28E3"/>
    <w:rsid w:val="000D2F7F"/>
    <w:rsid w:val="000D30EE"/>
    <w:rsid w:val="000D414C"/>
    <w:rsid w:val="000D4F5F"/>
    <w:rsid w:val="000D53FD"/>
    <w:rsid w:val="000E0FCD"/>
    <w:rsid w:val="000E2E34"/>
    <w:rsid w:val="000E4F27"/>
    <w:rsid w:val="000F038E"/>
    <w:rsid w:val="000F3282"/>
    <w:rsid w:val="000F466E"/>
    <w:rsid w:val="000F5091"/>
    <w:rsid w:val="000F5C41"/>
    <w:rsid w:val="000F5E85"/>
    <w:rsid w:val="000F5EB3"/>
    <w:rsid w:val="000F62FF"/>
    <w:rsid w:val="000F7D88"/>
    <w:rsid w:val="00100AAF"/>
    <w:rsid w:val="00100FFC"/>
    <w:rsid w:val="0010501D"/>
    <w:rsid w:val="00106ADD"/>
    <w:rsid w:val="00107670"/>
    <w:rsid w:val="001104F8"/>
    <w:rsid w:val="001128C1"/>
    <w:rsid w:val="00112E3C"/>
    <w:rsid w:val="001153FD"/>
    <w:rsid w:val="00121608"/>
    <w:rsid w:val="00122114"/>
    <w:rsid w:val="0012284E"/>
    <w:rsid w:val="00131C9F"/>
    <w:rsid w:val="00135F3C"/>
    <w:rsid w:val="001373D9"/>
    <w:rsid w:val="00137C20"/>
    <w:rsid w:val="00141674"/>
    <w:rsid w:val="00141FA6"/>
    <w:rsid w:val="0014650C"/>
    <w:rsid w:val="00146561"/>
    <w:rsid w:val="00146706"/>
    <w:rsid w:val="001547AE"/>
    <w:rsid w:val="00155DCC"/>
    <w:rsid w:val="001562E4"/>
    <w:rsid w:val="00157AD3"/>
    <w:rsid w:val="00160315"/>
    <w:rsid w:val="00160C76"/>
    <w:rsid w:val="00160DDB"/>
    <w:rsid w:val="00164074"/>
    <w:rsid w:val="001651F2"/>
    <w:rsid w:val="0016627C"/>
    <w:rsid w:val="00172437"/>
    <w:rsid w:val="00174004"/>
    <w:rsid w:val="001754D3"/>
    <w:rsid w:val="0017762F"/>
    <w:rsid w:val="00177861"/>
    <w:rsid w:val="0018360D"/>
    <w:rsid w:val="0018434A"/>
    <w:rsid w:val="001847C6"/>
    <w:rsid w:val="00187AFF"/>
    <w:rsid w:val="00194BD0"/>
    <w:rsid w:val="0019539C"/>
    <w:rsid w:val="001960DE"/>
    <w:rsid w:val="001A0719"/>
    <w:rsid w:val="001A3E44"/>
    <w:rsid w:val="001A68E3"/>
    <w:rsid w:val="001B1159"/>
    <w:rsid w:val="001B2789"/>
    <w:rsid w:val="001B3954"/>
    <w:rsid w:val="001B44B8"/>
    <w:rsid w:val="001C200A"/>
    <w:rsid w:val="001C623F"/>
    <w:rsid w:val="001D2B3D"/>
    <w:rsid w:val="001E054D"/>
    <w:rsid w:val="001E0975"/>
    <w:rsid w:val="001E428C"/>
    <w:rsid w:val="001E5907"/>
    <w:rsid w:val="001E5D28"/>
    <w:rsid w:val="001E6430"/>
    <w:rsid w:val="001E7FD3"/>
    <w:rsid w:val="001F2E4B"/>
    <w:rsid w:val="001F4035"/>
    <w:rsid w:val="001F7931"/>
    <w:rsid w:val="001F7ABB"/>
    <w:rsid w:val="001F7D34"/>
    <w:rsid w:val="00202F43"/>
    <w:rsid w:val="00212625"/>
    <w:rsid w:val="002153F6"/>
    <w:rsid w:val="002208B9"/>
    <w:rsid w:val="00222B3D"/>
    <w:rsid w:val="00223E51"/>
    <w:rsid w:val="00224AF1"/>
    <w:rsid w:val="00224FD6"/>
    <w:rsid w:val="0023185D"/>
    <w:rsid w:val="00231931"/>
    <w:rsid w:val="00237E8D"/>
    <w:rsid w:val="00240BFD"/>
    <w:rsid w:val="00241057"/>
    <w:rsid w:val="002468BC"/>
    <w:rsid w:val="00251C55"/>
    <w:rsid w:val="00252620"/>
    <w:rsid w:val="0025395A"/>
    <w:rsid w:val="00255886"/>
    <w:rsid w:val="0025593A"/>
    <w:rsid w:val="00255A57"/>
    <w:rsid w:val="002564B8"/>
    <w:rsid w:val="00260C13"/>
    <w:rsid w:val="00260E07"/>
    <w:rsid w:val="00264661"/>
    <w:rsid w:val="00266F3D"/>
    <w:rsid w:val="00267E2C"/>
    <w:rsid w:val="00270BF2"/>
    <w:rsid w:val="00274288"/>
    <w:rsid w:val="00275AEB"/>
    <w:rsid w:val="00277635"/>
    <w:rsid w:val="00277DC0"/>
    <w:rsid w:val="0028101E"/>
    <w:rsid w:val="00283629"/>
    <w:rsid w:val="00291B59"/>
    <w:rsid w:val="0029288F"/>
    <w:rsid w:val="00293901"/>
    <w:rsid w:val="00293CE0"/>
    <w:rsid w:val="0029486A"/>
    <w:rsid w:val="00294C23"/>
    <w:rsid w:val="00296617"/>
    <w:rsid w:val="002A02ED"/>
    <w:rsid w:val="002A054C"/>
    <w:rsid w:val="002A3000"/>
    <w:rsid w:val="002A4501"/>
    <w:rsid w:val="002A5F36"/>
    <w:rsid w:val="002A6565"/>
    <w:rsid w:val="002A7B7E"/>
    <w:rsid w:val="002B1869"/>
    <w:rsid w:val="002B19E3"/>
    <w:rsid w:val="002B2B5C"/>
    <w:rsid w:val="002B4D3C"/>
    <w:rsid w:val="002B5DFC"/>
    <w:rsid w:val="002B6BEF"/>
    <w:rsid w:val="002C01B2"/>
    <w:rsid w:val="002C156B"/>
    <w:rsid w:val="002C164D"/>
    <w:rsid w:val="002C25CF"/>
    <w:rsid w:val="002C579B"/>
    <w:rsid w:val="002D09BF"/>
    <w:rsid w:val="002D3822"/>
    <w:rsid w:val="002D4823"/>
    <w:rsid w:val="002E0484"/>
    <w:rsid w:val="002E1A14"/>
    <w:rsid w:val="002F32BC"/>
    <w:rsid w:val="002F352D"/>
    <w:rsid w:val="00305E1A"/>
    <w:rsid w:val="0031219F"/>
    <w:rsid w:val="0031376A"/>
    <w:rsid w:val="0031756D"/>
    <w:rsid w:val="00321A44"/>
    <w:rsid w:val="00325556"/>
    <w:rsid w:val="00326113"/>
    <w:rsid w:val="00327238"/>
    <w:rsid w:val="003272D7"/>
    <w:rsid w:val="00327AF8"/>
    <w:rsid w:val="003317DA"/>
    <w:rsid w:val="00332A83"/>
    <w:rsid w:val="00334BE7"/>
    <w:rsid w:val="00337177"/>
    <w:rsid w:val="00345F20"/>
    <w:rsid w:val="0035223D"/>
    <w:rsid w:val="00352496"/>
    <w:rsid w:val="00356526"/>
    <w:rsid w:val="00362C19"/>
    <w:rsid w:val="003631F2"/>
    <w:rsid w:val="00370218"/>
    <w:rsid w:val="00372DE7"/>
    <w:rsid w:val="00373459"/>
    <w:rsid w:val="00377970"/>
    <w:rsid w:val="003801BB"/>
    <w:rsid w:val="0038090A"/>
    <w:rsid w:val="003848D9"/>
    <w:rsid w:val="00384CE1"/>
    <w:rsid w:val="003A3097"/>
    <w:rsid w:val="003A6E50"/>
    <w:rsid w:val="003A753B"/>
    <w:rsid w:val="003B0B1A"/>
    <w:rsid w:val="003B26DC"/>
    <w:rsid w:val="003C08A1"/>
    <w:rsid w:val="003C2447"/>
    <w:rsid w:val="003C62B4"/>
    <w:rsid w:val="003C63A0"/>
    <w:rsid w:val="003C7D43"/>
    <w:rsid w:val="003D0A50"/>
    <w:rsid w:val="003D6B50"/>
    <w:rsid w:val="003D6EA3"/>
    <w:rsid w:val="003E26DA"/>
    <w:rsid w:val="003F0CBF"/>
    <w:rsid w:val="003F24F4"/>
    <w:rsid w:val="003F37B0"/>
    <w:rsid w:val="003F6D3B"/>
    <w:rsid w:val="003F7937"/>
    <w:rsid w:val="00404DC8"/>
    <w:rsid w:val="00407026"/>
    <w:rsid w:val="004072AE"/>
    <w:rsid w:val="0041604F"/>
    <w:rsid w:val="00421F23"/>
    <w:rsid w:val="004230DF"/>
    <w:rsid w:val="00427CFD"/>
    <w:rsid w:val="004318C0"/>
    <w:rsid w:val="004378C7"/>
    <w:rsid w:val="00445322"/>
    <w:rsid w:val="004511AF"/>
    <w:rsid w:val="00452A90"/>
    <w:rsid w:val="0045578F"/>
    <w:rsid w:val="0046445E"/>
    <w:rsid w:val="004716FA"/>
    <w:rsid w:val="00472911"/>
    <w:rsid w:val="00473128"/>
    <w:rsid w:val="00473C71"/>
    <w:rsid w:val="00473FD7"/>
    <w:rsid w:val="00475056"/>
    <w:rsid w:val="004852BC"/>
    <w:rsid w:val="00486667"/>
    <w:rsid w:val="004871E0"/>
    <w:rsid w:val="0048741C"/>
    <w:rsid w:val="00493CA9"/>
    <w:rsid w:val="00493E10"/>
    <w:rsid w:val="0049625E"/>
    <w:rsid w:val="004A2890"/>
    <w:rsid w:val="004A2A58"/>
    <w:rsid w:val="004B3998"/>
    <w:rsid w:val="004B709E"/>
    <w:rsid w:val="004B7180"/>
    <w:rsid w:val="004C3494"/>
    <w:rsid w:val="004C4837"/>
    <w:rsid w:val="004D4D9B"/>
    <w:rsid w:val="004D6EA1"/>
    <w:rsid w:val="004E0758"/>
    <w:rsid w:val="004E332F"/>
    <w:rsid w:val="004F0625"/>
    <w:rsid w:val="004F6174"/>
    <w:rsid w:val="00500AB5"/>
    <w:rsid w:val="005013F1"/>
    <w:rsid w:val="00510D8E"/>
    <w:rsid w:val="00511F70"/>
    <w:rsid w:val="005120AF"/>
    <w:rsid w:val="00513EFB"/>
    <w:rsid w:val="00520C30"/>
    <w:rsid w:val="00521765"/>
    <w:rsid w:val="00522A0E"/>
    <w:rsid w:val="00522CD3"/>
    <w:rsid w:val="0052678F"/>
    <w:rsid w:val="005354CB"/>
    <w:rsid w:val="005356F3"/>
    <w:rsid w:val="005358E6"/>
    <w:rsid w:val="005404AB"/>
    <w:rsid w:val="0054372B"/>
    <w:rsid w:val="00543AC9"/>
    <w:rsid w:val="005457E1"/>
    <w:rsid w:val="0054710C"/>
    <w:rsid w:val="00547E09"/>
    <w:rsid w:val="005504DC"/>
    <w:rsid w:val="00551A69"/>
    <w:rsid w:val="00552389"/>
    <w:rsid w:val="00553740"/>
    <w:rsid w:val="00553C29"/>
    <w:rsid w:val="00554C43"/>
    <w:rsid w:val="00560A7E"/>
    <w:rsid w:val="00565851"/>
    <w:rsid w:val="005675EA"/>
    <w:rsid w:val="005720F6"/>
    <w:rsid w:val="00577597"/>
    <w:rsid w:val="005864FF"/>
    <w:rsid w:val="005906D9"/>
    <w:rsid w:val="00592A8A"/>
    <w:rsid w:val="00593209"/>
    <w:rsid w:val="005933FB"/>
    <w:rsid w:val="00594353"/>
    <w:rsid w:val="00594E0E"/>
    <w:rsid w:val="0059645F"/>
    <w:rsid w:val="00596488"/>
    <w:rsid w:val="005B4821"/>
    <w:rsid w:val="005B4BA3"/>
    <w:rsid w:val="005B66BE"/>
    <w:rsid w:val="005C4AAA"/>
    <w:rsid w:val="005C5A75"/>
    <w:rsid w:val="005D1363"/>
    <w:rsid w:val="005D24DE"/>
    <w:rsid w:val="005D547E"/>
    <w:rsid w:val="005D5E6E"/>
    <w:rsid w:val="005D69AE"/>
    <w:rsid w:val="005D6F49"/>
    <w:rsid w:val="005E6DBB"/>
    <w:rsid w:val="005F6197"/>
    <w:rsid w:val="0060015B"/>
    <w:rsid w:val="00600BE5"/>
    <w:rsid w:val="00601127"/>
    <w:rsid w:val="00602587"/>
    <w:rsid w:val="00603E97"/>
    <w:rsid w:val="00604DA3"/>
    <w:rsid w:val="006072A5"/>
    <w:rsid w:val="00607AA9"/>
    <w:rsid w:val="00613C42"/>
    <w:rsid w:val="006202AB"/>
    <w:rsid w:val="0062723D"/>
    <w:rsid w:val="00630758"/>
    <w:rsid w:val="00630B1F"/>
    <w:rsid w:val="006344A7"/>
    <w:rsid w:val="006366A8"/>
    <w:rsid w:val="00636E84"/>
    <w:rsid w:val="0064000C"/>
    <w:rsid w:val="006413C9"/>
    <w:rsid w:val="006447DE"/>
    <w:rsid w:val="00647C82"/>
    <w:rsid w:val="00657F17"/>
    <w:rsid w:val="006673A2"/>
    <w:rsid w:val="006679B9"/>
    <w:rsid w:val="00671312"/>
    <w:rsid w:val="00672FDE"/>
    <w:rsid w:val="00672FE6"/>
    <w:rsid w:val="00676C00"/>
    <w:rsid w:val="0067716A"/>
    <w:rsid w:val="00683FD5"/>
    <w:rsid w:val="00691D6B"/>
    <w:rsid w:val="006920B1"/>
    <w:rsid w:val="00692F09"/>
    <w:rsid w:val="00695427"/>
    <w:rsid w:val="00697062"/>
    <w:rsid w:val="0069744B"/>
    <w:rsid w:val="006A16C3"/>
    <w:rsid w:val="006A7C4B"/>
    <w:rsid w:val="006B333A"/>
    <w:rsid w:val="006B47F9"/>
    <w:rsid w:val="006C458C"/>
    <w:rsid w:val="006D1589"/>
    <w:rsid w:val="006E0662"/>
    <w:rsid w:val="006E70FE"/>
    <w:rsid w:val="006F460D"/>
    <w:rsid w:val="006F505D"/>
    <w:rsid w:val="006F7FD4"/>
    <w:rsid w:val="007131EC"/>
    <w:rsid w:val="007168E6"/>
    <w:rsid w:val="0071798E"/>
    <w:rsid w:val="00720DB4"/>
    <w:rsid w:val="00720F29"/>
    <w:rsid w:val="00722846"/>
    <w:rsid w:val="00722FF5"/>
    <w:rsid w:val="007246F5"/>
    <w:rsid w:val="00725A99"/>
    <w:rsid w:val="00726592"/>
    <w:rsid w:val="00734310"/>
    <w:rsid w:val="00736A3D"/>
    <w:rsid w:val="00737DE2"/>
    <w:rsid w:val="0074654D"/>
    <w:rsid w:val="007514F5"/>
    <w:rsid w:val="00761302"/>
    <w:rsid w:val="007626C5"/>
    <w:rsid w:val="007643AD"/>
    <w:rsid w:val="007931FD"/>
    <w:rsid w:val="0079414C"/>
    <w:rsid w:val="00794D33"/>
    <w:rsid w:val="00795D54"/>
    <w:rsid w:val="007A6F4A"/>
    <w:rsid w:val="007B20B4"/>
    <w:rsid w:val="007B22A9"/>
    <w:rsid w:val="007B5FB9"/>
    <w:rsid w:val="007C2375"/>
    <w:rsid w:val="007C23F0"/>
    <w:rsid w:val="007C3279"/>
    <w:rsid w:val="007C61E1"/>
    <w:rsid w:val="007D13CF"/>
    <w:rsid w:val="007D3F3C"/>
    <w:rsid w:val="007D430A"/>
    <w:rsid w:val="007D6633"/>
    <w:rsid w:val="007D78F7"/>
    <w:rsid w:val="007E5ADB"/>
    <w:rsid w:val="007E6232"/>
    <w:rsid w:val="007F340A"/>
    <w:rsid w:val="007F433D"/>
    <w:rsid w:val="007F5A64"/>
    <w:rsid w:val="007F7859"/>
    <w:rsid w:val="008115DE"/>
    <w:rsid w:val="008211F9"/>
    <w:rsid w:val="0082269D"/>
    <w:rsid w:val="00822A1A"/>
    <w:rsid w:val="00824B3D"/>
    <w:rsid w:val="00825141"/>
    <w:rsid w:val="0083029E"/>
    <w:rsid w:val="00830673"/>
    <w:rsid w:val="00832377"/>
    <w:rsid w:val="0083330E"/>
    <w:rsid w:val="00833549"/>
    <w:rsid w:val="00836C8B"/>
    <w:rsid w:val="00841302"/>
    <w:rsid w:val="00841A56"/>
    <w:rsid w:val="008433B1"/>
    <w:rsid w:val="008448FD"/>
    <w:rsid w:val="008451C1"/>
    <w:rsid w:val="0085004D"/>
    <w:rsid w:val="0085068C"/>
    <w:rsid w:val="0085070C"/>
    <w:rsid w:val="00851533"/>
    <w:rsid w:val="008526C2"/>
    <w:rsid w:val="00852D1A"/>
    <w:rsid w:val="00855555"/>
    <w:rsid w:val="008562AC"/>
    <w:rsid w:val="0086511E"/>
    <w:rsid w:val="00867F6F"/>
    <w:rsid w:val="00871BD1"/>
    <w:rsid w:val="008723DB"/>
    <w:rsid w:val="008739EB"/>
    <w:rsid w:val="00882832"/>
    <w:rsid w:val="008845F9"/>
    <w:rsid w:val="00887331"/>
    <w:rsid w:val="00892E84"/>
    <w:rsid w:val="00894BF4"/>
    <w:rsid w:val="008A05FC"/>
    <w:rsid w:val="008A11DB"/>
    <w:rsid w:val="008A138D"/>
    <w:rsid w:val="008A25CE"/>
    <w:rsid w:val="008A3509"/>
    <w:rsid w:val="008A4783"/>
    <w:rsid w:val="008A7807"/>
    <w:rsid w:val="008B26CC"/>
    <w:rsid w:val="008B2AF2"/>
    <w:rsid w:val="008B58D7"/>
    <w:rsid w:val="008B7AA2"/>
    <w:rsid w:val="008C22A1"/>
    <w:rsid w:val="008C3B6D"/>
    <w:rsid w:val="008C610C"/>
    <w:rsid w:val="008D041A"/>
    <w:rsid w:val="008D3782"/>
    <w:rsid w:val="008D465D"/>
    <w:rsid w:val="008E2186"/>
    <w:rsid w:val="008E25EA"/>
    <w:rsid w:val="008E2FC7"/>
    <w:rsid w:val="008E6A25"/>
    <w:rsid w:val="008F40A0"/>
    <w:rsid w:val="008F784D"/>
    <w:rsid w:val="00900A2B"/>
    <w:rsid w:val="00910544"/>
    <w:rsid w:val="00910DE9"/>
    <w:rsid w:val="00916149"/>
    <w:rsid w:val="00920DBD"/>
    <w:rsid w:val="009225C8"/>
    <w:rsid w:val="00924EC0"/>
    <w:rsid w:val="00925384"/>
    <w:rsid w:val="0092614C"/>
    <w:rsid w:val="009268E3"/>
    <w:rsid w:val="00927AE0"/>
    <w:rsid w:val="009329C5"/>
    <w:rsid w:val="009357D9"/>
    <w:rsid w:val="009364E2"/>
    <w:rsid w:val="0094061B"/>
    <w:rsid w:val="0094090B"/>
    <w:rsid w:val="009422FF"/>
    <w:rsid w:val="009431F6"/>
    <w:rsid w:val="009478E8"/>
    <w:rsid w:val="00960F8D"/>
    <w:rsid w:val="00961FE2"/>
    <w:rsid w:val="00967819"/>
    <w:rsid w:val="00967CC1"/>
    <w:rsid w:val="009704C4"/>
    <w:rsid w:val="00973B3E"/>
    <w:rsid w:val="00973E42"/>
    <w:rsid w:val="00975B04"/>
    <w:rsid w:val="00975C2B"/>
    <w:rsid w:val="009817FB"/>
    <w:rsid w:val="0098190B"/>
    <w:rsid w:val="009843CF"/>
    <w:rsid w:val="00987AE6"/>
    <w:rsid w:val="00990E34"/>
    <w:rsid w:val="009927F5"/>
    <w:rsid w:val="009934A1"/>
    <w:rsid w:val="009945A6"/>
    <w:rsid w:val="009A02C7"/>
    <w:rsid w:val="009A3C75"/>
    <w:rsid w:val="009A5C50"/>
    <w:rsid w:val="009A65F9"/>
    <w:rsid w:val="009A6F03"/>
    <w:rsid w:val="009B0B02"/>
    <w:rsid w:val="009B0E31"/>
    <w:rsid w:val="009B5439"/>
    <w:rsid w:val="009B705D"/>
    <w:rsid w:val="009C4AAE"/>
    <w:rsid w:val="009D2C51"/>
    <w:rsid w:val="009D66D7"/>
    <w:rsid w:val="009E437A"/>
    <w:rsid w:val="009F4FE8"/>
    <w:rsid w:val="009F5A0C"/>
    <w:rsid w:val="009F67F8"/>
    <w:rsid w:val="00A01B23"/>
    <w:rsid w:val="00A057DF"/>
    <w:rsid w:val="00A06335"/>
    <w:rsid w:val="00A12B61"/>
    <w:rsid w:val="00A138E3"/>
    <w:rsid w:val="00A152C8"/>
    <w:rsid w:val="00A2282F"/>
    <w:rsid w:val="00A239FB"/>
    <w:rsid w:val="00A23E97"/>
    <w:rsid w:val="00A24394"/>
    <w:rsid w:val="00A245F2"/>
    <w:rsid w:val="00A278CF"/>
    <w:rsid w:val="00A37C89"/>
    <w:rsid w:val="00A42A26"/>
    <w:rsid w:val="00A43B3C"/>
    <w:rsid w:val="00A44DF9"/>
    <w:rsid w:val="00A456EF"/>
    <w:rsid w:val="00A46954"/>
    <w:rsid w:val="00A509DC"/>
    <w:rsid w:val="00A51849"/>
    <w:rsid w:val="00A52F90"/>
    <w:rsid w:val="00A539CF"/>
    <w:rsid w:val="00A570E0"/>
    <w:rsid w:val="00A6042E"/>
    <w:rsid w:val="00A62069"/>
    <w:rsid w:val="00A63DE1"/>
    <w:rsid w:val="00A665CF"/>
    <w:rsid w:val="00A71033"/>
    <w:rsid w:val="00A757AB"/>
    <w:rsid w:val="00A807D8"/>
    <w:rsid w:val="00A80C73"/>
    <w:rsid w:val="00A843CD"/>
    <w:rsid w:val="00A8520B"/>
    <w:rsid w:val="00A87B66"/>
    <w:rsid w:val="00A94C5A"/>
    <w:rsid w:val="00A9602B"/>
    <w:rsid w:val="00A962C0"/>
    <w:rsid w:val="00AA4609"/>
    <w:rsid w:val="00AC3A7A"/>
    <w:rsid w:val="00AC3FBC"/>
    <w:rsid w:val="00AC6E71"/>
    <w:rsid w:val="00AD083A"/>
    <w:rsid w:val="00AE184B"/>
    <w:rsid w:val="00AE3EB7"/>
    <w:rsid w:val="00AE59D6"/>
    <w:rsid w:val="00AE7CE8"/>
    <w:rsid w:val="00AF0DB3"/>
    <w:rsid w:val="00AF1A92"/>
    <w:rsid w:val="00AF4930"/>
    <w:rsid w:val="00AF6179"/>
    <w:rsid w:val="00AF68E6"/>
    <w:rsid w:val="00AF7394"/>
    <w:rsid w:val="00B01B1F"/>
    <w:rsid w:val="00B105BE"/>
    <w:rsid w:val="00B152BC"/>
    <w:rsid w:val="00B2119C"/>
    <w:rsid w:val="00B21441"/>
    <w:rsid w:val="00B215AC"/>
    <w:rsid w:val="00B24BE1"/>
    <w:rsid w:val="00B25C1C"/>
    <w:rsid w:val="00B325EB"/>
    <w:rsid w:val="00B3447B"/>
    <w:rsid w:val="00B47FAA"/>
    <w:rsid w:val="00B57C4A"/>
    <w:rsid w:val="00B63653"/>
    <w:rsid w:val="00B63D80"/>
    <w:rsid w:val="00B63DDF"/>
    <w:rsid w:val="00B63E56"/>
    <w:rsid w:val="00B65242"/>
    <w:rsid w:val="00B70336"/>
    <w:rsid w:val="00B71E07"/>
    <w:rsid w:val="00B7639A"/>
    <w:rsid w:val="00B7680D"/>
    <w:rsid w:val="00B85502"/>
    <w:rsid w:val="00B85992"/>
    <w:rsid w:val="00B86731"/>
    <w:rsid w:val="00B95D41"/>
    <w:rsid w:val="00BA07BD"/>
    <w:rsid w:val="00BA2270"/>
    <w:rsid w:val="00BA263A"/>
    <w:rsid w:val="00BA5900"/>
    <w:rsid w:val="00BA5944"/>
    <w:rsid w:val="00BA7D77"/>
    <w:rsid w:val="00BB09FA"/>
    <w:rsid w:val="00BB0AFD"/>
    <w:rsid w:val="00BB1369"/>
    <w:rsid w:val="00BB19C5"/>
    <w:rsid w:val="00BB6626"/>
    <w:rsid w:val="00BB74EE"/>
    <w:rsid w:val="00BB7E73"/>
    <w:rsid w:val="00BD383D"/>
    <w:rsid w:val="00BD3D30"/>
    <w:rsid w:val="00BD5E51"/>
    <w:rsid w:val="00BD7717"/>
    <w:rsid w:val="00BE2ED6"/>
    <w:rsid w:val="00BE5347"/>
    <w:rsid w:val="00BF03D8"/>
    <w:rsid w:val="00BF0A5A"/>
    <w:rsid w:val="00BF1450"/>
    <w:rsid w:val="00BF197D"/>
    <w:rsid w:val="00BF2D57"/>
    <w:rsid w:val="00BF49CA"/>
    <w:rsid w:val="00BF6483"/>
    <w:rsid w:val="00BF673F"/>
    <w:rsid w:val="00C013B2"/>
    <w:rsid w:val="00C11482"/>
    <w:rsid w:val="00C11DE7"/>
    <w:rsid w:val="00C14BC8"/>
    <w:rsid w:val="00C162DA"/>
    <w:rsid w:val="00C20B15"/>
    <w:rsid w:val="00C21E50"/>
    <w:rsid w:val="00C27F40"/>
    <w:rsid w:val="00C301EA"/>
    <w:rsid w:val="00C32A94"/>
    <w:rsid w:val="00C32EF4"/>
    <w:rsid w:val="00C33283"/>
    <w:rsid w:val="00C40DD3"/>
    <w:rsid w:val="00C43881"/>
    <w:rsid w:val="00C4407E"/>
    <w:rsid w:val="00C4777E"/>
    <w:rsid w:val="00C5210F"/>
    <w:rsid w:val="00C5399B"/>
    <w:rsid w:val="00C55043"/>
    <w:rsid w:val="00C55B8E"/>
    <w:rsid w:val="00C60A67"/>
    <w:rsid w:val="00C642CF"/>
    <w:rsid w:val="00C649FF"/>
    <w:rsid w:val="00C664D5"/>
    <w:rsid w:val="00C723AA"/>
    <w:rsid w:val="00C766A6"/>
    <w:rsid w:val="00C80F8B"/>
    <w:rsid w:val="00C820D1"/>
    <w:rsid w:val="00C824E6"/>
    <w:rsid w:val="00C83525"/>
    <w:rsid w:val="00C836B8"/>
    <w:rsid w:val="00C86D59"/>
    <w:rsid w:val="00C87A67"/>
    <w:rsid w:val="00C91586"/>
    <w:rsid w:val="00C92ABE"/>
    <w:rsid w:val="00C946FF"/>
    <w:rsid w:val="00C94BFE"/>
    <w:rsid w:val="00CA2015"/>
    <w:rsid w:val="00CA30E2"/>
    <w:rsid w:val="00CA753F"/>
    <w:rsid w:val="00CA754B"/>
    <w:rsid w:val="00CA7C6D"/>
    <w:rsid w:val="00CB2CB4"/>
    <w:rsid w:val="00CB5829"/>
    <w:rsid w:val="00CB5E70"/>
    <w:rsid w:val="00CC25BD"/>
    <w:rsid w:val="00CC45F7"/>
    <w:rsid w:val="00CD28AC"/>
    <w:rsid w:val="00CD4ED5"/>
    <w:rsid w:val="00CD58DF"/>
    <w:rsid w:val="00CD5CD7"/>
    <w:rsid w:val="00CD5CFB"/>
    <w:rsid w:val="00CE17AB"/>
    <w:rsid w:val="00CE1CF5"/>
    <w:rsid w:val="00CF3E76"/>
    <w:rsid w:val="00CF715A"/>
    <w:rsid w:val="00CF7710"/>
    <w:rsid w:val="00D002C8"/>
    <w:rsid w:val="00D01B05"/>
    <w:rsid w:val="00D03054"/>
    <w:rsid w:val="00D07B90"/>
    <w:rsid w:val="00D109F5"/>
    <w:rsid w:val="00D131BB"/>
    <w:rsid w:val="00D1375F"/>
    <w:rsid w:val="00D16EDA"/>
    <w:rsid w:val="00D20FFE"/>
    <w:rsid w:val="00D273DA"/>
    <w:rsid w:val="00D30B52"/>
    <w:rsid w:val="00D31D14"/>
    <w:rsid w:val="00D33540"/>
    <w:rsid w:val="00D33A49"/>
    <w:rsid w:val="00D342EA"/>
    <w:rsid w:val="00D365AE"/>
    <w:rsid w:val="00D44186"/>
    <w:rsid w:val="00D50080"/>
    <w:rsid w:val="00D50211"/>
    <w:rsid w:val="00D53781"/>
    <w:rsid w:val="00D53C77"/>
    <w:rsid w:val="00D55AB0"/>
    <w:rsid w:val="00D601BF"/>
    <w:rsid w:val="00D60300"/>
    <w:rsid w:val="00D6643B"/>
    <w:rsid w:val="00D66F4C"/>
    <w:rsid w:val="00D7147E"/>
    <w:rsid w:val="00D73C5C"/>
    <w:rsid w:val="00D73F4A"/>
    <w:rsid w:val="00D74F89"/>
    <w:rsid w:val="00D76469"/>
    <w:rsid w:val="00D77D04"/>
    <w:rsid w:val="00D77FF7"/>
    <w:rsid w:val="00D80B6E"/>
    <w:rsid w:val="00D80F0E"/>
    <w:rsid w:val="00D813D6"/>
    <w:rsid w:val="00D814E8"/>
    <w:rsid w:val="00D85411"/>
    <w:rsid w:val="00D87ADB"/>
    <w:rsid w:val="00D900BC"/>
    <w:rsid w:val="00D9219B"/>
    <w:rsid w:val="00D9399A"/>
    <w:rsid w:val="00D93D34"/>
    <w:rsid w:val="00DA0CDB"/>
    <w:rsid w:val="00DA6C50"/>
    <w:rsid w:val="00DB4C0A"/>
    <w:rsid w:val="00DB62B8"/>
    <w:rsid w:val="00DC06BF"/>
    <w:rsid w:val="00DC0961"/>
    <w:rsid w:val="00DC13B5"/>
    <w:rsid w:val="00DC23EC"/>
    <w:rsid w:val="00DD10BC"/>
    <w:rsid w:val="00DD3279"/>
    <w:rsid w:val="00DE21D7"/>
    <w:rsid w:val="00DE232D"/>
    <w:rsid w:val="00DF01CB"/>
    <w:rsid w:val="00DF5BC7"/>
    <w:rsid w:val="00DF6687"/>
    <w:rsid w:val="00DF7E4D"/>
    <w:rsid w:val="00E02843"/>
    <w:rsid w:val="00E03039"/>
    <w:rsid w:val="00E05E7D"/>
    <w:rsid w:val="00E06E8E"/>
    <w:rsid w:val="00E138FC"/>
    <w:rsid w:val="00E208E1"/>
    <w:rsid w:val="00E20EDA"/>
    <w:rsid w:val="00E27177"/>
    <w:rsid w:val="00E31DD6"/>
    <w:rsid w:val="00E32962"/>
    <w:rsid w:val="00E43A2E"/>
    <w:rsid w:val="00E43CA1"/>
    <w:rsid w:val="00E4430F"/>
    <w:rsid w:val="00E44479"/>
    <w:rsid w:val="00E472C0"/>
    <w:rsid w:val="00E531A2"/>
    <w:rsid w:val="00E6276A"/>
    <w:rsid w:val="00E6733E"/>
    <w:rsid w:val="00E7158A"/>
    <w:rsid w:val="00E72707"/>
    <w:rsid w:val="00E7413E"/>
    <w:rsid w:val="00E770E4"/>
    <w:rsid w:val="00E83582"/>
    <w:rsid w:val="00E8416E"/>
    <w:rsid w:val="00E8476F"/>
    <w:rsid w:val="00E8675E"/>
    <w:rsid w:val="00E917A4"/>
    <w:rsid w:val="00E93A41"/>
    <w:rsid w:val="00E9691A"/>
    <w:rsid w:val="00E9722C"/>
    <w:rsid w:val="00EA1294"/>
    <w:rsid w:val="00EA2C15"/>
    <w:rsid w:val="00EA65FD"/>
    <w:rsid w:val="00EA7EC9"/>
    <w:rsid w:val="00EB095F"/>
    <w:rsid w:val="00EB0FD8"/>
    <w:rsid w:val="00EB6F4F"/>
    <w:rsid w:val="00EC116D"/>
    <w:rsid w:val="00EC3A82"/>
    <w:rsid w:val="00ED06BC"/>
    <w:rsid w:val="00ED0BC2"/>
    <w:rsid w:val="00ED205F"/>
    <w:rsid w:val="00ED42AC"/>
    <w:rsid w:val="00ED4A4E"/>
    <w:rsid w:val="00EE0E79"/>
    <w:rsid w:val="00EE1BDD"/>
    <w:rsid w:val="00EE7EB7"/>
    <w:rsid w:val="00EF0F95"/>
    <w:rsid w:val="00F002C2"/>
    <w:rsid w:val="00F02F24"/>
    <w:rsid w:val="00F04087"/>
    <w:rsid w:val="00F05E9D"/>
    <w:rsid w:val="00F132C8"/>
    <w:rsid w:val="00F15BA6"/>
    <w:rsid w:val="00F16F0C"/>
    <w:rsid w:val="00F20E40"/>
    <w:rsid w:val="00F24083"/>
    <w:rsid w:val="00F24737"/>
    <w:rsid w:val="00F253A1"/>
    <w:rsid w:val="00F32131"/>
    <w:rsid w:val="00F336B3"/>
    <w:rsid w:val="00F34370"/>
    <w:rsid w:val="00F3644D"/>
    <w:rsid w:val="00F376E3"/>
    <w:rsid w:val="00F4022C"/>
    <w:rsid w:val="00F4120C"/>
    <w:rsid w:val="00F423C2"/>
    <w:rsid w:val="00F4244F"/>
    <w:rsid w:val="00F42CF3"/>
    <w:rsid w:val="00F4440A"/>
    <w:rsid w:val="00F46284"/>
    <w:rsid w:val="00F468FB"/>
    <w:rsid w:val="00F50DD0"/>
    <w:rsid w:val="00F55593"/>
    <w:rsid w:val="00F55C00"/>
    <w:rsid w:val="00F57752"/>
    <w:rsid w:val="00F71714"/>
    <w:rsid w:val="00F74381"/>
    <w:rsid w:val="00F820B9"/>
    <w:rsid w:val="00F85034"/>
    <w:rsid w:val="00F869DB"/>
    <w:rsid w:val="00F9151E"/>
    <w:rsid w:val="00F92D52"/>
    <w:rsid w:val="00FA0D46"/>
    <w:rsid w:val="00FA1672"/>
    <w:rsid w:val="00FA196E"/>
    <w:rsid w:val="00FA62E1"/>
    <w:rsid w:val="00FA6369"/>
    <w:rsid w:val="00FA75AD"/>
    <w:rsid w:val="00FA7627"/>
    <w:rsid w:val="00FA7EFF"/>
    <w:rsid w:val="00FB058F"/>
    <w:rsid w:val="00FB5A2C"/>
    <w:rsid w:val="00FB67A9"/>
    <w:rsid w:val="00FB7E12"/>
    <w:rsid w:val="00FC3CBE"/>
    <w:rsid w:val="00FC4E23"/>
    <w:rsid w:val="00FC6B8D"/>
    <w:rsid w:val="00FD1194"/>
    <w:rsid w:val="00FD33E0"/>
    <w:rsid w:val="00FD5B96"/>
    <w:rsid w:val="00FD6B65"/>
    <w:rsid w:val="00FD6F00"/>
    <w:rsid w:val="00FE41BB"/>
    <w:rsid w:val="00FF29C1"/>
    <w:rsid w:val="00FF46B9"/>
    <w:rsid w:val="00FF6324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016E"/>
  <w15:docId w15:val="{4439C769-7250-4937-BA12-9D58C2D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1F2"/>
    <w:pPr>
      <w:spacing w:after="200" w:line="276" w:lineRule="auto"/>
    </w:pPr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177861"/>
    <w:pPr>
      <w:pageBreakBefore/>
      <w:spacing w:before="480" w:after="0"/>
      <w:contextualSpacing/>
      <w:outlineLvl w:val="0"/>
    </w:pPr>
    <w:rPr>
      <w:b/>
      <w:bCs/>
      <w:color w:val="212B55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2377"/>
    <w:pPr>
      <w:keepNext/>
      <w:pageBreakBefore w:val="0"/>
      <w:numPr>
        <w:numId w:val="2"/>
      </w:numPr>
      <w:spacing w:before="200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1F2"/>
    <w:pPr>
      <w:numPr>
        <w:ilvl w:val="2"/>
        <w:numId w:val="1"/>
      </w:numPr>
      <w:spacing w:before="200" w:after="0" w:line="271" w:lineRule="auto"/>
      <w:outlineLvl w:val="2"/>
    </w:pPr>
    <w:rPr>
      <w:bCs/>
      <w:color w:val="8080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F2"/>
    <w:pPr>
      <w:numPr>
        <w:ilvl w:val="3"/>
        <w:numId w:val="1"/>
      </w:numPr>
      <w:spacing w:before="200" w:after="0"/>
      <w:outlineLvl w:val="3"/>
    </w:pPr>
    <w:rPr>
      <w:rFonts w:ascii="Trebuchet MS" w:hAnsi="Trebuchet M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1F2"/>
    <w:pPr>
      <w:numPr>
        <w:ilvl w:val="4"/>
        <w:numId w:val="1"/>
      </w:numPr>
      <w:spacing w:before="200" w:after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31F2"/>
    <w:pPr>
      <w:numPr>
        <w:ilvl w:val="5"/>
        <w:numId w:val="1"/>
      </w:numPr>
      <w:spacing w:after="0" w:line="271" w:lineRule="auto"/>
      <w:outlineLvl w:val="5"/>
    </w:pPr>
    <w:rPr>
      <w:b/>
      <w:bCs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E51"/>
    <w:pPr>
      <w:numPr>
        <w:ilvl w:val="6"/>
        <w:numId w:val="1"/>
      </w:numPr>
      <w:spacing w:after="0"/>
      <w:outlineLvl w:val="6"/>
    </w:pPr>
    <w:rPr>
      <w:rFonts w:ascii="Verdana" w:hAnsi="Verdan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E51"/>
    <w:pPr>
      <w:numPr>
        <w:ilvl w:val="7"/>
        <w:numId w:val="1"/>
      </w:numPr>
      <w:spacing w:after="0"/>
      <w:outlineLvl w:val="7"/>
    </w:pPr>
    <w:rPr>
      <w:rFonts w:ascii="Verdana" w:hAnsi="Verdan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E51"/>
    <w:pPr>
      <w:numPr>
        <w:ilvl w:val="8"/>
        <w:numId w:val="1"/>
      </w:numPr>
      <w:spacing w:after="0"/>
      <w:outlineLvl w:val="8"/>
    </w:pPr>
    <w:rPr>
      <w:rFonts w:ascii="Verdana" w:hAnsi="Verdan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177861"/>
    <w:rPr>
      <w:rFonts w:ascii="Arial" w:hAnsi="Arial"/>
      <w:b/>
      <w:bCs/>
      <w:color w:val="212B55"/>
      <w:sz w:val="32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2377"/>
    <w:rPr>
      <w:rFonts w:ascii="Arial" w:hAnsi="Arial"/>
      <w:b/>
      <w:bCs/>
      <w:color w:val="212B55"/>
      <w:sz w:val="28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631F2"/>
    <w:rPr>
      <w:rFonts w:ascii="Arial" w:hAnsi="Arial"/>
      <w:bCs/>
      <w:color w:val="80808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631F2"/>
    <w:rPr>
      <w:rFonts w:ascii="Trebuchet MS" w:hAnsi="Trebuchet MS"/>
      <w:b/>
      <w:bCs/>
      <w:i/>
      <w:iCs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631F2"/>
    <w:rPr>
      <w:rFonts w:ascii="Arial" w:hAnsi="Arial"/>
      <w:b/>
      <w:bCs/>
      <w:color w:val="00000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3631F2"/>
    <w:rPr>
      <w:rFonts w:ascii="Arial" w:hAnsi="Arial"/>
      <w:b/>
      <w:bCs/>
      <w:i/>
      <w:iCs/>
      <w:color w:val="00000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E51"/>
    <w:rPr>
      <w:i/>
      <w:iCs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E51"/>
    <w:rPr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E51"/>
    <w:rPr>
      <w:i/>
      <w:iCs/>
      <w:spacing w:val="5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23E51"/>
    <w:pPr>
      <w:pBdr>
        <w:bottom w:val="single" w:sz="4" w:space="1" w:color="auto"/>
      </w:pBdr>
      <w:spacing w:line="240" w:lineRule="auto"/>
      <w:contextualSpacing/>
    </w:pPr>
    <w:rPr>
      <w:rFonts w:ascii="Verdana" w:hAnsi="Verdan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E51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1F2"/>
    <w:pPr>
      <w:spacing w:after="600"/>
    </w:pPr>
    <w:rPr>
      <w:i/>
      <w:iCs/>
      <w:color w:val="000000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31F2"/>
    <w:rPr>
      <w:rFonts w:ascii="Arial" w:hAnsi="Arial"/>
      <w:i/>
      <w:iCs/>
      <w:color w:val="000000"/>
      <w:spacing w:val="13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3631F2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3631F2"/>
    <w:rPr>
      <w:rFonts w:ascii="Arial" w:hAnsi="Arial"/>
      <w:b/>
      <w:bCs/>
      <w:i/>
      <w:iCs/>
      <w:color w:val="000000"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23E5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631F2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3631F2"/>
    <w:pPr>
      <w:spacing w:before="200" w:after="0"/>
      <w:ind w:left="360" w:right="36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631F2"/>
    <w:rPr>
      <w:rFonts w:ascii="Arial" w:hAnsi="Arial"/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1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1F2"/>
    <w:rPr>
      <w:rFonts w:ascii="Arial" w:hAnsi="Arial"/>
      <w:b/>
      <w:bCs/>
      <w:i/>
      <w:iCs/>
      <w:color w:val="000000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223E51"/>
    <w:rPr>
      <w:i/>
      <w:iCs/>
    </w:rPr>
  </w:style>
  <w:style w:type="character" w:styleId="IntenseEmphasis">
    <w:name w:val="Intense Emphasis"/>
    <w:uiPriority w:val="21"/>
    <w:qFormat/>
    <w:rsid w:val="003631F2"/>
    <w:rPr>
      <w:rFonts w:ascii="Arial" w:hAnsi="Arial"/>
      <w:b/>
      <w:bCs/>
      <w:color w:val="000000"/>
    </w:rPr>
  </w:style>
  <w:style w:type="character" w:styleId="SubtleReference">
    <w:name w:val="Subtle Reference"/>
    <w:uiPriority w:val="31"/>
    <w:qFormat/>
    <w:rsid w:val="003631F2"/>
    <w:rPr>
      <w:rFonts w:ascii="Arial" w:hAnsi="Arial"/>
      <w:smallCaps/>
      <w:color w:val="000000"/>
    </w:rPr>
  </w:style>
  <w:style w:type="character" w:styleId="IntenseReference">
    <w:name w:val="Intense Reference"/>
    <w:uiPriority w:val="32"/>
    <w:qFormat/>
    <w:rsid w:val="003631F2"/>
    <w:rPr>
      <w:rFonts w:ascii="Arial" w:hAnsi="Arial"/>
      <w:smallCaps/>
      <w:color w:val="000000"/>
      <w:spacing w:val="5"/>
      <w:u w:val="single"/>
    </w:rPr>
  </w:style>
  <w:style w:type="character" w:styleId="BookTitle">
    <w:name w:val="Book Title"/>
    <w:uiPriority w:val="33"/>
    <w:qFormat/>
    <w:rsid w:val="003631F2"/>
    <w:rPr>
      <w:rFonts w:ascii="Arial" w:hAnsi="Arial"/>
      <w:i/>
      <w:iCs/>
      <w:smallCaps/>
      <w:color w:val="00000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E5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7763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3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D5E51"/>
    <w:pPr>
      <w:tabs>
        <w:tab w:val="left" w:pos="440"/>
        <w:tab w:val="right" w:leader="dot" w:pos="9016"/>
      </w:tabs>
      <w:spacing w:after="10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50211"/>
    <w:pPr>
      <w:tabs>
        <w:tab w:val="left" w:pos="880"/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21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221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10"/>
  </w:style>
  <w:style w:type="paragraph" w:styleId="Footer">
    <w:name w:val="footer"/>
    <w:basedOn w:val="Normal"/>
    <w:link w:val="FooterChar"/>
    <w:uiPriority w:val="99"/>
    <w:unhideWhenUsed/>
    <w:rsid w:val="00CF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10"/>
  </w:style>
  <w:style w:type="character" w:styleId="PlaceholderText">
    <w:name w:val="Placeholder Text"/>
    <w:basedOn w:val="DefaultParagraphFont"/>
    <w:uiPriority w:val="99"/>
    <w:semiHidden/>
    <w:rsid w:val="00CF7710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3B2"/>
    <w:rPr>
      <w:rFonts w:ascii="Tahoma" w:hAnsi="Tahoma" w:cs="Tahoma"/>
      <w:sz w:val="16"/>
      <w:szCs w:val="16"/>
    </w:rPr>
  </w:style>
  <w:style w:type="character" w:customStyle="1" w:styleId="a3">
    <w:name w:val="a3"/>
    <w:basedOn w:val="DefaultParagraphFont"/>
    <w:rsid w:val="00C27F40"/>
  </w:style>
  <w:style w:type="paragraph" w:styleId="FootnoteText">
    <w:name w:val="footnote text"/>
    <w:basedOn w:val="Normal"/>
    <w:link w:val="FootnoteTextChar"/>
    <w:uiPriority w:val="99"/>
    <w:semiHidden/>
    <w:rsid w:val="009704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C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704C4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726592"/>
    <w:pPr>
      <w:spacing w:after="100"/>
      <w:ind w:left="660"/>
    </w:pPr>
    <w:rPr>
      <w:lang w:eastAsia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726592"/>
    <w:pPr>
      <w:spacing w:after="100"/>
      <w:ind w:left="880"/>
    </w:pPr>
    <w:rPr>
      <w:lang w:eastAsia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26592"/>
    <w:pPr>
      <w:spacing w:after="100"/>
      <w:ind w:left="1100"/>
    </w:pPr>
    <w:rPr>
      <w:lang w:eastAsia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26592"/>
    <w:pPr>
      <w:spacing w:after="100"/>
      <w:ind w:left="1320"/>
    </w:pPr>
    <w:rPr>
      <w:lang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26592"/>
    <w:pPr>
      <w:spacing w:after="100"/>
      <w:ind w:left="1540"/>
    </w:pPr>
    <w:rPr>
      <w:lang w:eastAsia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26592"/>
    <w:pPr>
      <w:spacing w:after="100"/>
      <w:ind w:left="1760"/>
    </w:pPr>
    <w:rPr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69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table" w:customStyle="1" w:styleId="LightShading-Accent11">
    <w:name w:val="Light Shading - Accent 11"/>
    <w:basedOn w:val="TableNormal"/>
    <w:uiPriority w:val="60"/>
    <w:rsid w:val="005D1363"/>
    <w:rPr>
      <w:color w:val="001066"/>
    </w:rPr>
    <w:tblPr>
      <w:tblStyleRowBandSize w:val="1"/>
      <w:tblStyleColBandSize w:val="1"/>
      <w:tblBorders>
        <w:top w:val="single" w:sz="8" w:space="0" w:color="001689"/>
        <w:bottom w:val="single" w:sz="8" w:space="0" w:color="00168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689"/>
          <w:left w:val="nil"/>
          <w:bottom w:val="single" w:sz="8" w:space="0" w:color="0016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689"/>
          <w:left w:val="nil"/>
          <w:bottom w:val="single" w:sz="8" w:space="0" w:color="0016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B1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B1FF"/>
      </w:tcPr>
    </w:tblStylePr>
  </w:style>
  <w:style w:type="table" w:styleId="LightList-Accent2">
    <w:name w:val="Light List Accent 2"/>
    <w:basedOn w:val="TableNormal"/>
    <w:uiPriority w:val="61"/>
    <w:rsid w:val="005D1363"/>
    <w:tblPr>
      <w:tblStyleRowBandSize w:val="1"/>
      <w:tblStyleColBandSize w:val="1"/>
      <w:tblBorders>
        <w:top w:val="single" w:sz="8" w:space="0" w:color="313335"/>
        <w:left w:val="single" w:sz="8" w:space="0" w:color="313335"/>
        <w:bottom w:val="single" w:sz="8" w:space="0" w:color="313335"/>
        <w:right w:val="single" w:sz="8" w:space="0" w:color="3133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133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3335"/>
          <w:left w:val="single" w:sz="8" w:space="0" w:color="313335"/>
          <w:bottom w:val="single" w:sz="8" w:space="0" w:color="313335"/>
          <w:right w:val="single" w:sz="8" w:space="0" w:color="3133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3335"/>
          <w:left w:val="single" w:sz="8" w:space="0" w:color="313335"/>
          <w:bottom w:val="single" w:sz="8" w:space="0" w:color="313335"/>
          <w:right w:val="single" w:sz="8" w:space="0" w:color="313335"/>
        </w:tcBorders>
      </w:tcPr>
    </w:tblStylePr>
    <w:tblStylePr w:type="band1Horz">
      <w:tblPr/>
      <w:tcPr>
        <w:tcBorders>
          <w:top w:val="single" w:sz="8" w:space="0" w:color="313335"/>
          <w:left w:val="single" w:sz="8" w:space="0" w:color="313335"/>
          <w:bottom w:val="single" w:sz="8" w:space="0" w:color="313335"/>
          <w:right w:val="single" w:sz="8" w:space="0" w:color="313335"/>
        </w:tcBorders>
      </w:tcPr>
    </w:tblStylePr>
  </w:style>
  <w:style w:type="table" w:styleId="LightList-Accent3">
    <w:name w:val="Light List Accent 3"/>
    <w:basedOn w:val="TableNormal"/>
    <w:uiPriority w:val="61"/>
    <w:rsid w:val="005D1363"/>
    <w:tblPr>
      <w:tblStyleRowBandSize w:val="1"/>
      <w:tblStyleColBandSize w:val="1"/>
      <w:tblBorders>
        <w:top w:val="single" w:sz="8" w:space="0" w:color="00539F"/>
        <w:left w:val="single" w:sz="8" w:space="0" w:color="00539F"/>
        <w:bottom w:val="single" w:sz="8" w:space="0" w:color="00539F"/>
        <w:right w:val="single" w:sz="8" w:space="0" w:color="0053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39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9F"/>
          <w:left w:val="single" w:sz="8" w:space="0" w:color="00539F"/>
          <w:bottom w:val="single" w:sz="8" w:space="0" w:color="00539F"/>
          <w:right w:val="single" w:sz="8" w:space="0" w:color="005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9F"/>
          <w:left w:val="single" w:sz="8" w:space="0" w:color="00539F"/>
          <w:bottom w:val="single" w:sz="8" w:space="0" w:color="00539F"/>
          <w:right w:val="single" w:sz="8" w:space="0" w:color="00539F"/>
        </w:tcBorders>
      </w:tcPr>
    </w:tblStylePr>
    <w:tblStylePr w:type="band1Horz">
      <w:tblPr/>
      <w:tcPr>
        <w:tcBorders>
          <w:top w:val="single" w:sz="8" w:space="0" w:color="00539F"/>
          <w:left w:val="single" w:sz="8" w:space="0" w:color="00539F"/>
          <w:bottom w:val="single" w:sz="8" w:space="0" w:color="00539F"/>
          <w:right w:val="single" w:sz="8" w:space="0" w:color="00539F"/>
        </w:tcBorders>
      </w:tcPr>
    </w:tblStylePr>
  </w:style>
  <w:style w:type="table" w:styleId="LightList-Accent4">
    <w:name w:val="Light List Accent 4"/>
    <w:basedOn w:val="TableNormal"/>
    <w:uiPriority w:val="61"/>
    <w:rsid w:val="005D1363"/>
    <w:tblPr>
      <w:tblStyleRowBandSize w:val="1"/>
      <w:tblStyleColBandSize w:val="1"/>
      <w:tblBorders>
        <w:top w:val="single" w:sz="8" w:space="0" w:color="61279E"/>
        <w:left w:val="single" w:sz="8" w:space="0" w:color="61279E"/>
        <w:bottom w:val="single" w:sz="8" w:space="0" w:color="61279E"/>
        <w:right w:val="single" w:sz="8" w:space="0" w:color="6127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127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279E"/>
          <w:left w:val="single" w:sz="8" w:space="0" w:color="61279E"/>
          <w:bottom w:val="single" w:sz="8" w:space="0" w:color="61279E"/>
          <w:right w:val="single" w:sz="8" w:space="0" w:color="6127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279E"/>
          <w:left w:val="single" w:sz="8" w:space="0" w:color="61279E"/>
          <w:bottom w:val="single" w:sz="8" w:space="0" w:color="61279E"/>
          <w:right w:val="single" w:sz="8" w:space="0" w:color="61279E"/>
        </w:tcBorders>
      </w:tcPr>
    </w:tblStylePr>
    <w:tblStylePr w:type="band1Horz">
      <w:tblPr/>
      <w:tcPr>
        <w:tcBorders>
          <w:top w:val="single" w:sz="8" w:space="0" w:color="61279E"/>
          <w:left w:val="single" w:sz="8" w:space="0" w:color="61279E"/>
          <w:bottom w:val="single" w:sz="8" w:space="0" w:color="61279E"/>
          <w:right w:val="single" w:sz="8" w:space="0" w:color="61279E"/>
        </w:tcBorders>
      </w:tcPr>
    </w:tblStylePr>
  </w:style>
  <w:style w:type="table" w:styleId="MediumGrid1-Accent1">
    <w:name w:val="Medium Grid 1 Accent 1"/>
    <w:basedOn w:val="TableNormal"/>
    <w:uiPriority w:val="67"/>
    <w:rsid w:val="005D1363"/>
    <w:tblPr>
      <w:tblStyleRowBandSize w:val="1"/>
      <w:tblStyleColBandSize w:val="1"/>
      <w:tblBorders>
        <w:top w:val="single" w:sz="8" w:space="0" w:color="0024E6"/>
        <w:left w:val="single" w:sz="8" w:space="0" w:color="0024E6"/>
        <w:bottom w:val="single" w:sz="8" w:space="0" w:color="0024E6"/>
        <w:right w:val="single" w:sz="8" w:space="0" w:color="0024E6"/>
        <w:insideH w:val="single" w:sz="8" w:space="0" w:color="0024E6"/>
        <w:insideV w:val="single" w:sz="8" w:space="0" w:color="0024E6"/>
      </w:tblBorders>
    </w:tblPr>
    <w:tcPr>
      <w:shd w:val="clear" w:color="auto" w:fill="A2B1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4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62FF"/>
      </w:tcPr>
    </w:tblStylePr>
    <w:tblStylePr w:type="band1Horz">
      <w:tblPr/>
      <w:tcPr>
        <w:shd w:val="clear" w:color="auto" w:fill="4562FF"/>
      </w:tcPr>
    </w:tblStylePr>
  </w:style>
  <w:style w:type="table" w:styleId="ColorfulGrid-Accent3">
    <w:name w:val="Colorful Grid Accent 3"/>
    <w:basedOn w:val="TableNormal"/>
    <w:uiPriority w:val="73"/>
    <w:rsid w:val="005D1363"/>
    <w:rPr>
      <w:color w:val="00205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8DDFF"/>
    </w:tcPr>
    <w:tblStylePr w:type="firstRow">
      <w:rPr>
        <w:b/>
        <w:bCs/>
      </w:rPr>
      <w:tblPr/>
      <w:tcPr>
        <w:shd w:val="clear" w:color="auto" w:fill="72BBFF"/>
      </w:tcPr>
    </w:tblStylePr>
    <w:tblStylePr w:type="lastRow">
      <w:rPr>
        <w:b/>
        <w:bCs/>
        <w:color w:val="00205C"/>
      </w:rPr>
      <w:tblPr/>
      <w:tcPr>
        <w:shd w:val="clear" w:color="auto" w:fill="72BBFF"/>
      </w:tcPr>
    </w:tblStylePr>
    <w:tblStylePr w:type="firstCol">
      <w:rPr>
        <w:color w:val="FFFFFF"/>
      </w:rPr>
      <w:tblPr/>
      <w:tcPr>
        <w:shd w:val="clear" w:color="auto" w:fill="003E77"/>
      </w:tcPr>
    </w:tblStylePr>
    <w:tblStylePr w:type="lastCol">
      <w:rPr>
        <w:color w:val="FFFFFF"/>
      </w:rPr>
      <w:tblPr/>
      <w:tcPr>
        <w:shd w:val="clear" w:color="auto" w:fill="003E77"/>
      </w:tcPr>
    </w:tblStylePr>
    <w:tblStylePr w:type="band1Vert">
      <w:tblPr/>
      <w:tcPr>
        <w:shd w:val="clear" w:color="auto" w:fill="50ABFF"/>
      </w:tcPr>
    </w:tblStylePr>
    <w:tblStylePr w:type="band1Horz">
      <w:tblPr/>
      <w:tcPr>
        <w:shd w:val="clear" w:color="auto" w:fill="50ABFF"/>
      </w:tcPr>
    </w:tblStylePr>
  </w:style>
  <w:style w:type="table" w:customStyle="1" w:styleId="LightShading1">
    <w:name w:val="Light Shading1"/>
    <w:basedOn w:val="TableNormal"/>
    <w:uiPriority w:val="60"/>
    <w:rsid w:val="005D1363"/>
    <w:rPr>
      <w:color w:val="001744"/>
    </w:rPr>
    <w:tblPr>
      <w:tblStyleRowBandSize w:val="1"/>
      <w:tblStyleColBandSize w:val="1"/>
      <w:tblBorders>
        <w:top w:val="single" w:sz="8" w:space="0" w:color="00205C"/>
        <w:bottom w:val="single" w:sz="8" w:space="0" w:color="00205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5C"/>
          <w:left w:val="nil"/>
          <w:bottom w:val="single" w:sz="8" w:space="0" w:color="00205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5C"/>
          <w:left w:val="nil"/>
          <w:bottom w:val="single" w:sz="8" w:space="0" w:color="00205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BB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BBFF"/>
      </w:tcPr>
    </w:tblStylePr>
  </w:style>
  <w:style w:type="table" w:customStyle="1" w:styleId="LightList1">
    <w:name w:val="Light List1"/>
    <w:basedOn w:val="TableNormal"/>
    <w:uiPriority w:val="61"/>
    <w:rsid w:val="00AF68E6"/>
    <w:tblPr>
      <w:tblStyleRowBandSize w:val="1"/>
      <w:tblStyleColBandSize w:val="1"/>
      <w:tblBorders>
        <w:top w:val="single" w:sz="8" w:space="0" w:color="00205C"/>
        <w:left w:val="single" w:sz="8" w:space="0" w:color="00205C"/>
        <w:bottom w:val="single" w:sz="8" w:space="0" w:color="00205C"/>
        <w:right w:val="single" w:sz="8" w:space="0" w:color="0020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0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5C"/>
          <w:left w:val="single" w:sz="8" w:space="0" w:color="00205C"/>
          <w:bottom w:val="single" w:sz="8" w:space="0" w:color="00205C"/>
          <w:right w:val="single" w:sz="8" w:space="0" w:color="0020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5C"/>
          <w:left w:val="single" w:sz="8" w:space="0" w:color="00205C"/>
          <w:bottom w:val="single" w:sz="8" w:space="0" w:color="00205C"/>
          <w:right w:val="single" w:sz="8" w:space="0" w:color="00205C"/>
        </w:tcBorders>
      </w:tcPr>
    </w:tblStylePr>
    <w:tblStylePr w:type="band1Horz">
      <w:tblPr/>
      <w:tcPr>
        <w:tcBorders>
          <w:top w:val="single" w:sz="8" w:space="0" w:color="00205C"/>
          <w:left w:val="single" w:sz="8" w:space="0" w:color="00205C"/>
          <w:bottom w:val="single" w:sz="8" w:space="0" w:color="00205C"/>
          <w:right w:val="single" w:sz="8" w:space="0" w:color="00205C"/>
        </w:tcBorders>
      </w:tcPr>
    </w:tblStylePr>
  </w:style>
  <w:style w:type="paragraph" w:customStyle="1" w:styleId="Style1">
    <w:name w:val="Style1"/>
    <w:basedOn w:val="Heading2"/>
    <w:link w:val="Style1Char"/>
    <w:qFormat/>
    <w:rsid w:val="00737DE2"/>
    <w:pPr>
      <w:numPr>
        <w:ilvl w:val="1"/>
      </w:numPr>
    </w:pPr>
    <w:rPr>
      <w:b w:val="0"/>
      <w:color w:val="636363"/>
      <w:sz w:val="24"/>
      <w:szCs w:val="24"/>
    </w:rPr>
  </w:style>
  <w:style w:type="paragraph" w:customStyle="1" w:styleId="Style2">
    <w:name w:val="Style2"/>
    <w:basedOn w:val="Style1"/>
    <w:link w:val="Style2Char"/>
    <w:qFormat/>
    <w:rsid w:val="00832377"/>
    <w:pPr>
      <w:numPr>
        <w:ilvl w:val="2"/>
      </w:numPr>
    </w:pPr>
    <w:rPr>
      <w:color w:val="212B55"/>
      <w:sz w:val="22"/>
      <w:szCs w:val="22"/>
    </w:rPr>
  </w:style>
  <w:style w:type="character" w:customStyle="1" w:styleId="Style1Char">
    <w:name w:val="Style1 Char"/>
    <w:basedOn w:val="Heading2Char"/>
    <w:link w:val="Style1"/>
    <w:rsid w:val="00737DE2"/>
    <w:rPr>
      <w:rFonts w:ascii="Arial" w:hAnsi="Arial"/>
      <w:b w:val="0"/>
      <w:bCs/>
      <w:color w:val="636363"/>
      <w:sz w:val="24"/>
      <w:szCs w:val="24"/>
      <w:lang w:eastAsia="en-US" w:bidi="en-US"/>
    </w:rPr>
  </w:style>
  <w:style w:type="character" w:customStyle="1" w:styleId="Style2Char">
    <w:name w:val="Style2 Char"/>
    <w:basedOn w:val="Style1Char"/>
    <w:link w:val="Style2"/>
    <w:rsid w:val="00832377"/>
    <w:rPr>
      <w:rFonts w:ascii="Arial" w:hAnsi="Arial"/>
      <w:b w:val="0"/>
      <w:bCs/>
      <w:color w:val="212B55"/>
      <w:sz w:val="22"/>
      <w:szCs w:val="22"/>
      <w:lang w:eastAsia="en-US" w:bidi="en-US"/>
    </w:rPr>
  </w:style>
  <w:style w:type="table" w:styleId="TableGrid">
    <w:name w:val="Table Grid"/>
    <w:basedOn w:val="TableNormal"/>
    <w:rsid w:val="00AE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A68E3"/>
  </w:style>
  <w:style w:type="paragraph" w:styleId="BodyText">
    <w:name w:val="Body Text"/>
    <w:basedOn w:val="Normal"/>
    <w:link w:val="BodyTextChar"/>
    <w:rsid w:val="001A68E3"/>
    <w:pPr>
      <w:spacing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A68E3"/>
    <w:rPr>
      <w:rFonts w:ascii="Times New Roman" w:hAnsi="Times New Roman"/>
      <w:sz w:val="24"/>
      <w:szCs w:val="24"/>
      <w:lang w:eastAsia="en-US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5358E6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5358E6"/>
    <w:pPr>
      <w:pageBreakBefore w:val="0"/>
      <w:spacing w:before="0" w:after="200"/>
      <w:ind w:left="1480" w:hanging="482"/>
      <w:contextualSpacing w:val="0"/>
      <w:jc w:val="both"/>
    </w:pPr>
    <w:rPr>
      <w:rFonts w:asciiTheme="majorHAnsi" w:hAnsiTheme="majorHAnsi" w:cstheme="minorHAnsi"/>
      <w:b w:val="0"/>
      <w:bCs w:val="0"/>
      <w:color w:val="auto"/>
      <w:sz w:val="20"/>
      <w:szCs w:val="32"/>
      <w:lang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000C"/>
    <w:rPr>
      <w:rFonts w:ascii="Arial" w:hAnsi="Arial"/>
      <w:color w:val="000000"/>
      <w:sz w:val="22"/>
      <w:szCs w:val="22"/>
      <w:lang w:eastAsia="en-US" w:bidi="en-US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056019"/>
    <w:pPr>
      <w:tabs>
        <w:tab w:val="left" w:pos="3686"/>
      </w:tabs>
      <w:spacing w:after="120"/>
      <w:ind w:left="1780"/>
      <w:contextualSpacing w:val="0"/>
      <w:jc w:val="both"/>
    </w:pPr>
    <w:rPr>
      <w:rFonts w:asciiTheme="minorHAnsi" w:eastAsiaTheme="minorHAnsi" w:hAnsiTheme="minorHAnsi" w:cstheme="minorBidi"/>
    </w:rPr>
  </w:style>
  <w:style w:type="character" w:customStyle="1" w:styleId="TSB-PolicyBulletsChar">
    <w:name w:val="TSB - Policy Bullets Char"/>
    <w:basedOn w:val="ListParagraphChar"/>
    <w:link w:val="TSB-PolicyBullets"/>
    <w:rsid w:val="00056019"/>
    <w:rPr>
      <w:rFonts w:asciiTheme="minorHAnsi" w:eastAsiaTheme="minorHAnsi" w:hAnsiTheme="minorHAnsi" w:cstheme="minorBidi"/>
      <w:color w:val="000000"/>
      <w:sz w:val="22"/>
      <w:szCs w:val="22"/>
      <w:lang w:eastAsia="en-US" w:bidi="en-US"/>
    </w:rPr>
  </w:style>
  <w:style w:type="paragraph" w:customStyle="1" w:styleId="PolicyBullets">
    <w:name w:val="Policy Bullets"/>
    <w:basedOn w:val="ListParagraph"/>
    <w:qFormat/>
    <w:rsid w:val="004F0625"/>
    <w:pPr>
      <w:numPr>
        <w:numId w:val="31"/>
      </w:numPr>
      <w:spacing w:after="0"/>
    </w:pPr>
    <w:rPr>
      <w:rFonts w:asciiTheme="minorHAnsi" w:eastAsiaTheme="minorHAnsi" w:hAnsiTheme="minorHAnsi" w:cstheme="minorBidi"/>
      <w:color w:val="auto"/>
      <w:lang w:bidi="ar-SA"/>
    </w:rPr>
  </w:style>
  <w:style w:type="paragraph" w:styleId="Revision">
    <w:name w:val="Revision"/>
    <w:hidden/>
    <w:uiPriority w:val="99"/>
    <w:semiHidden/>
    <w:rsid w:val="000E0FCD"/>
    <w:rPr>
      <w:rFonts w:ascii="Arial" w:hAnsi="Arial"/>
      <w:sz w:val="22"/>
      <w:szCs w:val="22"/>
      <w:lang w:eastAsia="en-US" w:bidi="en-US"/>
    </w:rPr>
  </w:style>
  <w:style w:type="paragraph" w:customStyle="1" w:styleId="Default">
    <w:name w:val="Default"/>
    <w:rsid w:val="00212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98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679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98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90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925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23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077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9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79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e26df-f37b-4a09-9d23-a2442fe4f2f8" xsi:nil="true"/>
    <lcf76f155ced4ddcb4097134ff3c332f xmlns="43c1b9f4-750a-4b6c-95d8-659725b632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BC3FBF5BFD34B9A1B44BFB8D53418" ma:contentTypeVersion="16" ma:contentTypeDescription="Create a new document." ma:contentTypeScope="" ma:versionID="f053477eabbddd9d72b6cbbef6d8f573">
  <xsd:schema xmlns:xsd="http://www.w3.org/2001/XMLSchema" xmlns:xs="http://www.w3.org/2001/XMLSchema" xmlns:p="http://schemas.microsoft.com/office/2006/metadata/properties" xmlns:ns2="43c1b9f4-750a-4b6c-95d8-659725b6326f" xmlns:ns3="567e26df-f37b-4a09-9d23-a2442fe4f2f8" targetNamespace="http://schemas.microsoft.com/office/2006/metadata/properties" ma:root="true" ma:fieldsID="64c664057101d0bb77ded4c302526936" ns2:_="" ns3:_="">
    <xsd:import namespace="43c1b9f4-750a-4b6c-95d8-659725b6326f"/>
    <xsd:import namespace="567e26df-f37b-4a09-9d23-a2442fe4f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b9f4-750a-4b6c-95d8-659725b63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f6c3f9-867f-4818-9836-ac509055c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e26df-f37b-4a09-9d23-a2442fe4f2f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7e4856f-2ee2-48da-a616-e7d313027f5e}" ma:internalName="TaxCatchAll" ma:showField="CatchAllData" ma:web="567e26df-f37b-4a09-9d23-a2442fe4f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63309E-0449-4E33-925B-35A8299131C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43c1b9f4-750a-4b6c-95d8-659725b6326f"/>
    <ds:schemaRef ds:uri="http://purl.org/dc/dcmitype/"/>
    <ds:schemaRef ds:uri="http://schemas.openxmlformats.org/package/2006/metadata/core-properties"/>
    <ds:schemaRef ds:uri="567e26df-f37b-4a09-9d23-a2442fe4f2f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1AD117-7208-4A4D-912E-3CC1E5E77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A8C54-4211-4A3E-89F5-3E876AA8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1b9f4-750a-4b6c-95d8-659725b6326f"/>
    <ds:schemaRef ds:uri="567e26df-f37b-4a09-9d23-a2442fe4f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83CB86-C006-414B-B7E6-9EF68E2E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document title goes here My document title goes here</vt:lpstr>
    </vt:vector>
  </TitlesOfParts>
  <Company>Exact Mortgage Experts Ltd</Company>
  <LinksUpToDate>false</LinksUpToDate>
  <CharactersWithSpaces>6268</CharactersWithSpaces>
  <SharedDoc>false</SharedDoc>
  <HLinks>
    <vt:vector size="42" baseType="variant">
      <vt:variant>
        <vt:i4>1048637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_Toc249239587</vt:lpwstr>
      </vt:variant>
      <vt:variant>
        <vt:i4>1048637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_Toc249239586</vt:lpwstr>
      </vt:variant>
      <vt:variant>
        <vt:i4>1048637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_Toc249239585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_Toc249239584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_Toc249239583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_Toc249239582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_Toc249239581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 title goes here My document title goes here</dc:title>
  <dc:creator>flissd</dc:creator>
  <cp:lastModifiedBy>Emma Bradford</cp:lastModifiedBy>
  <cp:revision>2</cp:revision>
  <cp:lastPrinted>2023-10-10T13:23:00Z</cp:lastPrinted>
  <dcterms:created xsi:type="dcterms:W3CDTF">2023-10-10T13:24:00Z</dcterms:created>
  <dcterms:modified xsi:type="dcterms:W3CDTF">2023-10-10T13:24:00Z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0x0101002FABC3FBF5BFD34B9A1B44BFB8D53418</vt:lpwstr>
  </property>
  <property fmtid="{D5CDD505-2E9C-101B-9397-08002B2CF9AE}" pid="3" name="Order">
    <vt:r8>182400</vt:r8>
  </property>
</Properties>
</file>